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19C3F" w14:textId="45BF1370" w:rsidR="006643A3" w:rsidRPr="00056959" w:rsidRDefault="183927CE" w:rsidP="00B81B29">
      <w:pPr>
        <w:pStyle w:val="Heading1"/>
        <w:jc w:val="center"/>
        <w:rPr>
          <w:color w:val="auto"/>
        </w:rPr>
      </w:pPr>
      <w:r w:rsidRPr="00056959">
        <w:rPr>
          <w:color w:val="auto"/>
        </w:rPr>
        <w:t>Instructions for Program Assessment Report Template</w:t>
      </w:r>
    </w:p>
    <w:p w14:paraId="3A18ECE9" w14:textId="4482A514" w:rsidR="006643A3" w:rsidRPr="00B81B29" w:rsidRDefault="183927CE" w:rsidP="002B2266">
      <w:pPr>
        <w:pStyle w:val="Heading2"/>
        <w:jc w:val="center"/>
      </w:pPr>
      <w:r w:rsidRPr="00B81B29">
        <w:t>Assessment Reports due Oct. 15, 2026</w:t>
      </w:r>
    </w:p>
    <w:p w14:paraId="39BE58EE" w14:textId="4459CE7B" w:rsidR="006643A3" w:rsidRPr="00B81B29" w:rsidRDefault="183927CE" w:rsidP="002B2266">
      <w:pPr>
        <w:pStyle w:val="Heading2"/>
        <w:jc w:val="center"/>
      </w:pPr>
      <w:r w:rsidRPr="00B81B29">
        <w:t>Annual Undergraduate reporting:  202</w:t>
      </w:r>
      <w:r w:rsidR="00425482" w:rsidRPr="00B81B29">
        <w:t>5</w:t>
      </w:r>
      <w:r w:rsidRPr="00B81B29">
        <w:t>-202</w:t>
      </w:r>
      <w:r w:rsidR="00425482" w:rsidRPr="00B81B29">
        <w:t>6</w:t>
      </w:r>
    </w:p>
    <w:p w14:paraId="47DFB4BC" w14:textId="07D52549" w:rsidR="006643A3" w:rsidRPr="00B81B29" w:rsidRDefault="183927CE" w:rsidP="002B2266">
      <w:pPr>
        <w:pStyle w:val="Heading2"/>
        <w:jc w:val="center"/>
      </w:pPr>
      <w:r w:rsidRPr="00B81B29">
        <w:t>Biennial Graduate reporting</w:t>
      </w:r>
      <w:r w:rsidR="00425482" w:rsidRPr="00B81B29">
        <w:t xml:space="preserve"> (EVEN Y</w:t>
      </w:r>
      <w:r w:rsidR="00FE0642">
        <w:t>EA</w:t>
      </w:r>
      <w:r w:rsidR="00425482" w:rsidRPr="00B81B29">
        <w:t>R CYCLE)</w:t>
      </w:r>
      <w:r w:rsidRPr="00B81B29">
        <w:t>:  2024-2025</w:t>
      </w:r>
      <w:r w:rsidR="00425482" w:rsidRPr="00B81B29">
        <w:t xml:space="preserve"> and 2025-2026</w:t>
      </w:r>
    </w:p>
    <w:p w14:paraId="16419A43" w14:textId="0F5BBECD" w:rsidR="006643A3" w:rsidRPr="00B81B29" w:rsidRDefault="006643A3" w:rsidP="00B81B29"/>
    <w:p w14:paraId="54B7AC9D" w14:textId="3323487D" w:rsidR="006643A3" w:rsidRPr="00B81B29" w:rsidRDefault="006643A3" w:rsidP="00B81B29"/>
    <w:p w14:paraId="5224712A" w14:textId="0EC7B4D4" w:rsidR="006643A3" w:rsidRDefault="005B10E5" w:rsidP="00B81B29">
      <w:r w:rsidRPr="002B2266">
        <w:t>Please</w:t>
      </w:r>
      <w:r w:rsidR="00AD7456" w:rsidRPr="002B2266">
        <w:t xml:space="preserve"> u</w:t>
      </w:r>
      <w:r w:rsidR="183927CE" w:rsidRPr="002B2266">
        <w:t xml:space="preserve">se the </w:t>
      </w:r>
      <w:r w:rsidR="001D7375">
        <w:t>2026-2027</w:t>
      </w:r>
      <w:r w:rsidR="00056959" w:rsidRPr="002B2266">
        <w:t xml:space="preserve"> </w:t>
      </w:r>
      <w:r w:rsidR="00AC2D37" w:rsidRPr="002B2266">
        <w:t xml:space="preserve">academic program reporting </w:t>
      </w:r>
      <w:r w:rsidR="183927CE" w:rsidRPr="002B2266">
        <w:t xml:space="preserve">template provided </w:t>
      </w:r>
      <w:r w:rsidR="00056959" w:rsidRPr="002B2266">
        <w:t>by the Assessment &amp; Outcomes Committee (AOC).</w:t>
      </w:r>
      <w:r w:rsidR="00AC2D37" w:rsidRPr="002B2266">
        <w:t xml:space="preserve"> </w:t>
      </w:r>
      <w:r w:rsidR="183927CE" w:rsidRPr="002B2266">
        <w:t xml:space="preserve">This template works for both Annual (Undergraduate) and Biennial (Graduate) reports. </w:t>
      </w:r>
    </w:p>
    <w:p w14:paraId="6C9EE4F4" w14:textId="77777777" w:rsidR="002B2266" w:rsidRDefault="002B2266" w:rsidP="00B81B29"/>
    <w:p w14:paraId="07DAA44B" w14:textId="599FF0A1" w:rsidR="002B2266" w:rsidRDefault="002B2266" w:rsidP="00CD524B">
      <w:pPr>
        <w:pStyle w:val="Heading2"/>
      </w:pPr>
      <w:r>
        <w:t>ABOUT THESE INSTRUCTIONS</w:t>
      </w:r>
    </w:p>
    <w:p w14:paraId="7B3BDE16" w14:textId="3553499E" w:rsidR="002B2266" w:rsidRDefault="00CD524B" w:rsidP="00B81B29">
      <w:r>
        <w:t xml:space="preserve">Members of the </w:t>
      </w:r>
      <w:hyperlink r:id="rId11" w:history="1">
        <w:r w:rsidRPr="00781A8F">
          <w:rPr>
            <w:rStyle w:val="Hyperlink"/>
          </w:rPr>
          <w:t>AOC</w:t>
        </w:r>
      </w:hyperlink>
      <w:r w:rsidR="00EB3BE4">
        <w:t>,</w:t>
      </w:r>
      <w:r>
        <w:t xml:space="preserve"> will read your report and provide feedback </w:t>
      </w:r>
      <w:r w:rsidR="00157FF2">
        <w:t>using</w:t>
      </w:r>
      <w:r>
        <w:t xml:space="preserve"> an assessment rubric that has been designed to support the quality of assessment </w:t>
      </w:r>
      <w:r w:rsidR="001358AF">
        <w:t xml:space="preserve">reporting </w:t>
      </w:r>
      <w:r>
        <w:t xml:space="preserve">efforts at MSU.  Feedback is provided to departments to </w:t>
      </w:r>
      <w:r w:rsidR="00EB3BE4">
        <w:t xml:space="preserve">help </w:t>
      </w:r>
      <w:r w:rsidR="003426C6">
        <w:t>programs consider areas they might strengthen</w:t>
      </w:r>
      <w:r w:rsidR="00577336">
        <w:t xml:space="preserve"> in</w:t>
      </w:r>
      <w:r w:rsidR="003426C6">
        <w:t xml:space="preserve"> their</w:t>
      </w:r>
      <w:r w:rsidR="00577336">
        <w:t xml:space="preserve"> assessment</w:t>
      </w:r>
      <w:r w:rsidR="003426C6">
        <w:t xml:space="preserve"> processes.  </w:t>
      </w:r>
      <w:r w:rsidR="00BB2991">
        <w:t xml:space="preserve">(See </w:t>
      </w:r>
      <w:hyperlink r:id="rId12" w:history="1">
        <w:r w:rsidR="00BB2991">
          <w:rPr>
            <w:rStyle w:val="Hyperlink"/>
          </w:rPr>
          <w:t>AOC Rubric for Assessment Report Elements_Holistic_24-25.docx</w:t>
        </w:r>
      </w:hyperlink>
      <w:r w:rsidR="00C90834">
        <w:t>)</w:t>
      </w:r>
      <w:r w:rsidR="00186077">
        <w:t>. The AOC welcomes any faculty who wish to be more engaged with assessment processes at MSU to join the committee.</w:t>
      </w:r>
    </w:p>
    <w:p w14:paraId="60CB7D49" w14:textId="77777777" w:rsidR="007622F3" w:rsidRDefault="007622F3" w:rsidP="00B81B29"/>
    <w:p w14:paraId="79BA973A" w14:textId="1E15B946" w:rsidR="007622F3" w:rsidRDefault="007622F3" w:rsidP="00B81B29">
      <w:r>
        <w:t>The</w:t>
      </w:r>
      <w:r w:rsidR="007B0E5D">
        <w:t xml:space="preserve"> reporting template, rubric, and </w:t>
      </w:r>
      <w:r>
        <w:t xml:space="preserve">instructions </w:t>
      </w:r>
      <w:r w:rsidR="007B0E5D">
        <w:t>are</w:t>
      </w:r>
      <w:r>
        <w:t xml:space="preserve"> designed to give you guidance in conducting and reporting</w:t>
      </w:r>
      <w:r w:rsidR="000E1DE9">
        <w:t xml:space="preserve"> to provide consistency and </w:t>
      </w:r>
      <w:r w:rsidR="442CA448">
        <w:t>structure</w:t>
      </w:r>
      <w:r w:rsidR="000E1DE9">
        <w:t xml:space="preserve"> across units.</w:t>
      </w:r>
    </w:p>
    <w:p w14:paraId="77B190E5" w14:textId="77777777" w:rsidR="00F85385" w:rsidRDefault="00F85385" w:rsidP="00B81B29"/>
    <w:p w14:paraId="561F65AE" w14:textId="5632E580" w:rsidR="0049599A" w:rsidRDefault="00F85385" w:rsidP="06B1D10A">
      <w:pPr>
        <w:rPr>
          <w:highlight w:val="cyan"/>
        </w:rPr>
      </w:pPr>
      <w:r w:rsidRPr="06B1D10A">
        <w:rPr>
          <w:highlight w:val="cyan"/>
        </w:rPr>
        <w:t xml:space="preserve">The </w:t>
      </w:r>
      <w:r w:rsidR="00C90834" w:rsidRPr="06B1D10A">
        <w:rPr>
          <w:b/>
          <w:bCs/>
          <w:highlight w:val="cyan"/>
        </w:rPr>
        <w:t>GOAL</w:t>
      </w:r>
      <w:r w:rsidRPr="06B1D10A">
        <w:rPr>
          <w:highlight w:val="cyan"/>
        </w:rPr>
        <w:t xml:space="preserve"> </w:t>
      </w:r>
      <w:r w:rsidRPr="06B1D10A">
        <w:rPr>
          <w:b/>
          <w:bCs/>
          <w:highlight w:val="cyan"/>
        </w:rPr>
        <w:t>of program assessment</w:t>
      </w:r>
      <w:r w:rsidRPr="06B1D10A">
        <w:rPr>
          <w:highlight w:val="cyan"/>
        </w:rPr>
        <w:t xml:space="preserve"> is to</w:t>
      </w:r>
      <w:r w:rsidR="00C90834" w:rsidRPr="06B1D10A">
        <w:rPr>
          <w:highlight w:val="cyan"/>
        </w:rPr>
        <w:t xml:space="preserve"> collect data and analyze the results</w:t>
      </w:r>
      <w:r w:rsidR="00786BD8" w:rsidRPr="06B1D10A">
        <w:rPr>
          <w:highlight w:val="cyan"/>
        </w:rPr>
        <w:t xml:space="preserve"> with a focus on improving </w:t>
      </w:r>
      <w:r w:rsidRPr="06B1D10A">
        <w:rPr>
          <w:highlight w:val="cyan"/>
        </w:rPr>
        <w:t>student learning in our majors, minors, and certificates</w:t>
      </w:r>
      <w:r w:rsidR="05CC2863" w:rsidRPr="06B1D10A">
        <w:rPr>
          <w:highlight w:val="cyan"/>
        </w:rPr>
        <w:t>.</w:t>
      </w:r>
      <w:r w:rsidRPr="06B1D10A">
        <w:rPr>
          <w:highlight w:val="cyan"/>
        </w:rPr>
        <w:t xml:space="preserve"> </w:t>
      </w:r>
      <w:r w:rsidR="13DA30FA" w:rsidRPr="06B1D10A">
        <w:rPr>
          <w:highlight w:val="cyan"/>
        </w:rPr>
        <w:t>Data collected is used to make informed decisions about the curriculum to support student learning.</w:t>
      </w:r>
    </w:p>
    <w:p w14:paraId="6975296A" w14:textId="77777777" w:rsidR="0049599A" w:rsidRDefault="0049599A" w:rsidP="00B81B29"/>
    <w:p w14:paraId="4C6B0BFD" w14:textId="0D8CB129" w:rsidR="00302010" w:rsidRDefault="00302010" w:rsidP="00B81B29">
      <w:r w:rsidRPr="06B1D10A">
        <w:rPr>
          <w:b/>
          <w:bCs/>
        </w:rPr>
        <w:t>Academic Program Assessment Reports</w:t>
      </w:r>
      <w:r>
        <w:t xml:space="preserve"> are a </w:t>
      </w:r>
      <w:r w:rsidRPr="06B1D10A">
        <w:rPr>
          <w:b/>
          <w:bCs/>
        </w:rPr>
        <w:t xml:space="preserve">tool </w:t>
      </w:r>
      <w:r w:rsidR="003B2F29">
        <w:t xml:space="preserve">for units to document their efforts and provide a history for programs to </w:t>
      </w:r>
      <w:r w:rsidR="00FA314A">
        <w:t xml:space="preserve">return to when planning future assessments.  These reports are also useful when conducting 7-year self-study program review documents for the Provost’s Office.  </w:t>
      </w:r>
    </w:p>
    <w:p w14:paraId="44E48CD3" w14:textId="77777777" w:rsidR="00302010" w:rsidRDefault="00302010" w:rsidP="00B81B29"/>
    <w:p w14:paraId="781775FB" w14:textId="430CA125" w:rsidR="000C352A" w:rsidRDefault="00DF767A" w:rsidP="00B81B29">
      <w:r>
        <w:t xml:space="preserve">The AOC </w:t>
      </w:r>
      <w:r w:rsidR="001B53FA">
        <w:t xml:space="preserve">is chaired by Assistant Provost Deb Blanchard and </w:t>
      </w:r>
      <w:r w:rsidR="5BF44BCD">
        <w:t xml:space="preserve">self-reporting metrics </w:t>
      </w:r>
      <w:r w:rsidR="001B53FA">
        <w:t xml:space="preserve">data </w:t>
      </w:r>
      <w:r w:rsidR="459B4CAD">
        <w:t xml:space="preserve">(Section 4.a and 7.a) </w:t>
      </w:r>
      <w:r w:rsidR="001B53FA">
        <w:t xml:space="preserve">is </w:t>
      </w:r>
      <w:r w:rsidR="18C6A044">
        <w:t>used by</w:t>
      </w:r>
      <w:r w:rsidR="000C352A">
        <w:t xml:space="preserve"> the Vice Provost for Curriculum, Assessment and Accreditation</w:t>
      </w:r>
      <w:r w:rsidR="003D4230">
        <w:t xml:space="preserve"> to </w:t>
      </w:r>
      <w:r w:rsidR="001F6639">
        <w:t xml:space="preserve">address </w:t>
      </w:r>
      <w:r w:rsidR="00C97877">
        <w:t xml:space="preserve">the requirements of </w:t>
      </w:r>
      <w:r w:rsidR="001F6639">
        <w:t>MSU’s institutional accreditor, Northwest Commission on Colleges and Universities (NWCCU).  For more information about the expectations for assessment set by NWCCU, please see</w:t>
      </w:r>
      <w:r w:rsidR="005476CA">
        <w:t xml:space="preserve"> </w:t>
      </w:r>
      <w:r w:rsidR="0047205E">
        <w:t xml:space="preserve">the </w:t>
      </w:r>
      <w:r w:rsidR="001F6639">
        <w:t xml:space="preserve"> </w:t>
      </w:r>
      <w:hyperlink r:id="rId13">
        <w:r w:rsidR="0047205E" w:rsidRPr="06B1D10A">
          <w:rPr>
            <w:rStyle w:val="Hyperlink"/>
          </w:rPr>
          <w:t>NWCCU Standards_Assessment.docx</w:t>
        </w:r>
      </w:hyperlink>
      <w:r w:rsidR="32A25EF7">
        <w:t xml:space="preserve"> or read all of the NWCCU Standards on their website at </w:t>
      </w:r>
      <w:hyperlink r:id="rId14">
        <w:r w:rsidR="61545110" w:rsidRPr="06B1D10A">
          <w:rPr>
            <w:rStyle w:val="Hyperlink"/>
          </w:rPr>
          <w:t>https://nwccu.org/standards/.</w:t>
        </w:r>
      </w:hyperlink>
    </w:p>
    <w:p w14:paraId="3504E2AE" w14:textId="77777777" w:rsidR="00C97877" w:rsidRDefault="00C97877" w:rsidP="00B81B29"/>
    <w:p w14:paraId="10682F41" w14:textId="77777777" w:rsidR="00613393" w:rsidRDefault="00613393">
      <w:pPr>
        <w:spacing w:after="160" w:line="279" w:lineRule="auto"/>
        <w:contextualSpacing w:val="0"/>
        <w:rPr>
          <w:rStyle w:val="Heading2Char"/>
        </w:rPr>
      </w:pPr>
      <w:r>
        <w:rPr>
          <w:rStyle w:val="Heading2Char"/>
        </w:rPr>
        <w:br w:type="page"/>
      </w:r>
    </w:p>
    <w:p w14:paraId="7B60F1BD" w14:textId="2C1DDB06" w:rsidR="00E67DE2" w:rsidRDefault="005476CA" w:rsidP="00B81B29">
      <w:pPr>
        <w:rPr>
          <w:rStyle w:val="Heading2Char"/>
        </w:rPr>
      </w:pPr>
      <w:r>
        <w:rPr>
          <w:rStyle w:val="Heading2Char"/>
        </w:rPr>
        <w:lastRenderedPageBreak/>
        <w:t>INSTRUCTIONS FOR USING THE TEMPLATE</w:t>
      </w:r>
    </w:p>
    <w:p w14:paraId="18D65720" w14:textId="2D3F95C2" w:rsidR="00F071DB" w:rsidRPr="00FF4F34" w:rsidRDefault="183927CE" w:rsidP="00B81B29">
      <w:pPr>
        <w:rPr>
          <w:rStyle w:val="Heading2Char"/>
        </w:rPr>
      </w:pPr>
      <w:r w:rsidRPr="00FF4F34">
        <w:rPr>
          <w:rStyle w:val="Heading2Char"/>
        </w:rPr>
        <w:t>Header &amp; Programs Table</w:t>
      </w:r>
    </w:p>
    <w:p w14:paraId="65C6B943" w14:textId="41CDD19C" w:rsidR="006643A3" w:rsidRPr="00B81B29" w:rsidRDefault="001A1DC3" w:rsidP="00FF4F34">
      <w:r>
        <w:t>I</w:t>
      </w:r>
      <w:r w:rsidR="183927CE" w:rsidRPr="00B81B29">
        <w:t>nclude department head and faculty who are submitting or reviewing report. Please fill in the table with the majors, minors, options, certificates, etc. in as full a manner as possible.  This eliminates guesswork for the Assessment and Outcomes Committee (AOC) and supports records management.</w:t>
      </w:r>
    </w:p>
    <w:p w14:paraId="0D1D0155" w14:textId="266146AD" w:rsidR="006643A3" w:rsidRPr="00B81B29" w:rsidRDefault="006643A3" w:rsidP="00B81B29"/>
    <w:p w14:paraId="3A3FA352" w14:textId="69C63C11" w:rsidR="006643A3" w:rsidRPr="00237E04" w:rsidRDefault="183927CE" w:rsidP="00734665">
      <w:pPr>
        <w:pStyle w:val="Heading2"/>
      </w:pPr>
      <w:r w:rsidRPr="00237E04">
        <w:t>Section 1.  Past Assessment Summary</w:t>
      </w:r>
    </w:p>
    <w:p w14:paraId="625092AC" w14:textId="592A8F33" w:rsidR="006643A3" w:rsidRPr="00B81B29" w:rsidRDefault="00822F93" w:rsidP="00B81B29">
      <w:r>
        <w:t xml:space="preserve">A table has been provided to aid you in summarizing </w:t>
      </w:r>
      <w:r w:rsidR="00AF7173">
        <w:t xml:space="preserve">past assessments.  </w:t>
      </w:r>
      <w:r w:rsidR="00316083">
        <w:t>Briefly s</w:t>
      </w:r>
      <w:r w:rsidR="00316083" w:rsidRPr="00316083">
        <w:t>ummarize findings from last time the PLO(s) were assessed.  Include findings that influenced this cycle’s assessment approach.  The goal is to provide evidence of continuous improvement; engagement with the assessment cycle, and why this is important. </w:t>
      </w:r>
      <w:r w:rsidR="183927CE" w:rsidRPr="00B81B29">
        <w:t xml:space="preserve"> </w:t>
      </w:r>
      <w:r w:rsidR="00F67AA8" w:rsidRPr="00F67AA8">
        <w:rPr>
          <w:rFonts w:cs="Calibri"/>
          <w:b/>
          <w:bCs/>
        </w:rPr>
        <w:t>Tip</w:t>
      </w:r>
      <w:r w:rsidR="00F67AA8" w:rsidRPr="4DAD1F13">
        <w:rPr>
          <w:rFonts w:cs="Calibri"/>
        </w:rPr>
        <w:t>: Old PLOs and Action items can be found in prior program assessment reports (on your website or reach out to Deb Blanchard to see what reports are archived</w:t>
      </w:r>
      <w:r w:rsidR="006216B4">
        <w:rPr>
          <w:rFonts w:cs="Calibri"/>
        </w:rPr>
        <w:t>.</w:t>
      </w:r>
      <w:r w:rsidR="00F67AA8" w:rsidRPr="4DAD1F13">
        <w:rPr>
          <w:rFonts w:cs="Calibri"/>
        </w:rPr>
        <w:t>)</w:t>
      </w:r>
    </w:p>
    <w:p w14:paraId="74657F12" w14:textId="328FE978" w:rsidR="006643A3" w:rsidRPr="00B81B29" w:rsidRDefault="006643A3" w:rsidP="00B81B29"/>
    <w:p w14:paraId="66927852" w14:textId="75DCE231" w:rsidR="006643A3" w:rsidRPr="00B81B29" w:rsidRDefault="183927CE" w:rsidP="00734665">
      <w:pPr>
        <w:pStyle w:val="Heading2"/>
      </w:pPr>
      <w:r w:rsidRPr="00B81B29">
        <w:t>Section 2. Actionable Research Question for Your Assessment</w:t>
      </w:r>
    </w:p>
    <w:p w14:paraId="35D56C39" w14:textId="77777777" w:rsidR="00650324" w:rsidRDefault="183927CE" w:rsidP="00B81B29">
      <w:r w:rsidRPr="00B81B29">
        <w:t xml:space="preserve">What question(s) are you trying to answer in this cycle’s assessment? Research questions should be meaningful (focus on an area you need to know the answer to), relatable (tied to program goals), and measurable.  </w:t>
      </w:r>
    </w:p>
    <w:p w14:paraId="04529779" w14:textId="77777777" w:rsidR="00650324" w:rsidRDefault="00650324" w:rsidP="00B81B29"/>
    <w:p w14:paraId="2F488C08" w14:textId="57A587AB" w:rsidR="006643A3" w:rsidRPr="00B81B29" w:rsidRDefault="183927CE" w:rsidP="007A2886">
      <w:pPr>
        <w:ind w:left="720"/>
      </w:pPr>
      <w:r w:rsidRPr="00B81B29">
        <w:t xml:space="preserve">Focus on: What will we be able to improve on if we answer this question? Formulate the question so it is specific to an observable action – not on something that is difficult to measure. </w:t>
      </w:r>
    </w:p>
    <w:p w14:paraId="501E13C4" w14:textId="78266870" w:rsidR="006643A3" w:rsidRPr="00B81B29" w:rsidRDefault="006643A3" w:rsidP="00B81B29"/>
    <w:p w14:paraId="3C9DC355" w14:textId="3EE760DB" w:rsidR="006643A3" w:rsidRPr="00650324" w:rsidRDefault="00650324" w:rsidP="00734665">
      <w:pPr>
        <w:pStyle w:val="Heading3"/>
      </w:pPr>
      <w:r w:rsidRPr="00650324">
        <w:t>A</w:t>
      </w:r>
      <w:r w:rsidR="183927CE" w:rsidRPr="00650324">
        <w:t>ssessment focused on student achievement of PLOs</w:t>
      </w:r>
    </w:p>
    <w:p w14:paraId="5C620D53" w14:textId="334F7A67" w:rsidR="006643A3" w:rsidRPr="00B81B29" w:rsidRDefault="183927CE" w:rsidP="00C3280B">
      <w:pPr>
        <w:ind w:left="720"/>
      </w:pPr>
      <w:r w:rsidRPr="00B81B29">
        <w:t xml:space="preserve">Example: </w:t>
      </w:r>
      <w:r w:rsidR="002504AC">
        <w:t xml:space="preserve">A </w:t>
      </w:r>
      <w:r w:rsidRPr="00B81B29">
        <w:t xml:space="preserve">PLO related to students developing problem-solving skills. </w:t>
      </w:r>
    </w:p>
    <w:p w14:paraId="2ADEA9D3" w14:textId="0C3ED377" w:rsidR="006643A3" w:rsidRPr="00B81B29" w:rsidRDefault="006643A3" w:rsidP="00B81B29"/>
    <w:p w14:paraId="248C7AC6" w14:textId="17B18B0A" w:rsidR="006643A3" w:rsidRDefault="183927CE" w:rsidP="00C3280B">
      <w:pPr>
        <w:ind w:left="720"/>
      </w:pPr>
      <w:r w:rsidRPr="00734665">
        <w:rPr>
          <w:rStyle w:val="Heading4Char"/>
        </w:rPr>
        <w:t>Macro level question</w:t>
      </w:r>
      <w:r w:rsidRPr="00B81B29">
        <w:t>: Can students apply problem-solving steps? Or, how well do students apply problem-solving steps?</w:t>
      </w:r>
    </w:p>
    <w:p w14:paraId="6557D096" w14:textId="77777777" w:rsidR="00423670" w:rsidRDefault="00423670" w:rsidP="00C3280B">
      <w:pPr>
        <w:ind w:left="720"/>
      </w:pPr>
    </w:p>
    <w:p w14:paraId="5089AD45" w14:textId="570C06AE" w:rsidR="00423670" w:rsidRPr="00B81B29" w:rsidRDefault="00423670" w:rsidP="00C3482F">
      <w:pPr>
        <w:pStyle w:val="ListParagraph"/>
      </w:pPr>
      <w:r w:rsidRPr="008E08EB">
        <w:rPr>
          <w:b/>
          <w:bCs/>
          <w:i/>
          <w:iCs/>
        </w:rPr>
        <w:t>Data collection/analysis</w:t>
      </w:r>
      <w:r w:rsidRPr="008E08EB">
        <w:rPr>
          <w:i/>
          <w:iCs/>
        </w:rPr>
        <w:t>:</w:t>
      </w:r>
      <w:r>
        <w:t xml:space="preserve">  Choose </w:t>
      </w:r>
      <w:r w:rsidR="004F27E2">
        <w:t xml:space="preserve">student work from courses aligned to this PLO and assess that work using a program-level assessment instrument with criteria related to problem-solving as it is </w:t>
      </w:r>
      <w:r w:rsidR="00A521C0">
        <w:t>defined in the discipline.</w:t>
      </w:r>
    </w:p>
    <w:p w14:paraId="7073303D" w14:textId="77777777" w:rsidR="00C3280B" w:rsidRDefault="00C3280B" w:rsidP="00B81B29"/>
    <w:p w14:paraId="7A866BF1" w14:textId="6629E641" w:rsidR="006643A3" w:rsidRDefault="183927CE" w:rsidP="00C3280B">
      <w:pPr>
        <w:ind w:left="720"/>
      </w:pPr>
      <w:r w:rsidRPr="00734665">
        <w:rPr>
          <w:rStyle w:val="Heading4Char"/>
        </w:rPr>
        <w:t>Micro level question</w:t>
      </w:r>
      <w:r w:rsidRPr="008E08EB">
        <w:rPr>
          <w:rStyle w:val="Heading5Char"/>
        </w:rPr>
        <w:t>:</w:t>
      </w:r>
      <w:r w:rsidRPr="008E08EB">
        <w:rPr>
          <w:color w:val="0070C0"/>
        </w:rPr>
        <w:t xml:space="preserve"> </w:t>
      </w:r>
      <w:r w:rsidRPr="00B81B29">
        <w:t>How have student outcomes on applying problem-solving steps changed over the last three years?</w:t>
      </w:r>
    </w:p>
    <w:p w14:paraId="31FF5C93" w14:textId="2C8F44ED" w:rsidR="005B75FE" w:rsidRDefault="005B75FE" w:rsidP="00C3280B">
      <w:pPr>
        <w:ind w:left="720"/>
        <w:rPr>
          <w:b/>
          <w:bCs/>
        </w:rPr>
      </w:pPr>
      <w:r>
        <w:rPr>
          <w:b/>
          <w:bCs/>
        </w:rPr>
        <w:tab/>
      </w:r>
    </w:p>
    <w:p w14:paraId="459A6322" w14:textId="2B9CD2DB" w:rsidR="000E6108" w:rsidRPr="00B81B29" w:rsidRDefault="005B75FE" w:rsidP="00C3482F">
      <w:pPr>
        <w:pStyle w:val="ListParagraph"/>
      </w:pPr>
      <w:r w:rsidRPr="00C560EC">
        <w:rPr>
          <w:b/>
          <w:bCs/>
          <w:i/>
          <w:iCs/>
        </w:rPr>
        <w:t>Data collection/analysis</w:t>
      </w:r>
      <w:r w:rsidR="000E6108" w:rsidRPr="00C560EC">
        <w:rPr>
          <w:b/>
          <w:bCs/>
          <w:i/>
          <w:iCs/>
        </w:rPr>
        <w:t>:</w:t>
      </w:r>
      <w:r w:rsidR="000E6108">
        <w:t xml:space="preserve"> </w:t>
      </w:r>
      <w:r w:rsidR="009616D2">
        <w:t xml:space="preserve"> </w:t>
      </w:r>
      <w:r>
        <w:t xml:space="preserve">Choose student work </w:t>
      </w:r>
      <w:r w:rsidR="009616D2">
        <w:t>from three years of courses to assess using a program-level assessment instrument.</w:t>
      </w:r>
      <w:r w:rsidR="00C560EC">
        <w:t xml:space="preserve">  OR </w:t>
      </w:r>
      <w:r w:rsidR="00A67BD9">
        <w:t xml:space="preserve">Compare student work from current year to assessment data </w:t>
      </w:r>
      <w:r w:rsidR="002B2266">
        <w:t>collected</w:t>
      </w:r>
      <w:r w:rsidR="00A67BD9">
        <w:t xml:space="preserve"> three years prior.</w:t>
      </w:r>
    </w:p>
    <w:p w14:paraId="0DD46ACC" w14:textId="18EB445D" w:rsidR="006643A3" w:rsidRPr="00B81B29" w:rsidRDefault="006643A3" w:rsidP="00B81B29"/>
    <w:p w14:paraId="7C66DC8F" w14:textId="5DEB239C" w:rsidR="00D46565" w:rsidRPr="00D46565" w:rsidRDefault="00573B6E" w:rsidP="00734665">
      <w:pPr>
        <w:pStyle w:val="Heading3"/>
      </w:pPr>
      <w:r>
        <w:t xml:space="preserve">Thinking Beyond </w:t>
      </w:r>
      <w:r w:rsidR="001D55C2">
        <w:t xml:space="preserve">Just </w:t>
      </w:r>
      <w:r>
        <w:t>Measuring Individual PLOs</w:t>
      </w:r>
      <w:r w:rsidR="00E459D4">
        <w:t xml:space="preserve"> </w:t>
      </w:r>
    </w:p>
    <w:p w14:paraId="2034FDA1" w14:textId="77777777" w:rsidR="006E195F" w:rsidRDefault="006E195F" w:rsidP="006E195F"/>
    <w:p w14:paraId="6469088A" w14:textId="77777777" w:rsidR="00E459D4" w:rsidRDefault="00DE2A01" w:rsidP="00C3482F">
      <w:pPr>
        <w:pStyle w:val="ListParagraph"/>
      </w:pPr>
      <w:r>
        <w:lastRenderedPageBreak/>
        <w:t xml:space="preserve">How are curriculum changes </w:t>
      </w:r>
      <w:r w:rsidR="00E459D4">
        <w:t>reflected in specific areas of PLO achievement, not just overall outcomes?</w:t>
      </w:r>
    </w:p>
    <w:p w14:paraId="2E1249D4" w14:textId="77777777" w:rsidR="00E459D4" w:rsidRDefault="00E459D4" w:rsidP="00C3482F">
      <w:pPr>
        <w:pStyle w:val="ListParagraph"/>
      </w:pPr>
      <w:r>
        <w:t>Which components of a PLO are students mastering, and where do gaps persist?</w:t>
      </w:r>
    </w:p>
    <w:p w14:paraId="21BAE3B6" w14:textId="1AF8B79C" w:rsidR="007C5D22" w:rsidRDefault="007C5D22" w:rsidP="00C3482F">
      <w:pPr>
        <w:pStyle w:val="ListParagraph"/>
      </w:pPr>
      <w:r>
        <w:t>If students consistently meet threshold levels, are they truly excelling or just meeting minimum expectations?</w:t>
      </w:r>
    </w:p>
    <w:p w14:paraId="46D3CFBD" w14:textId="77777777" w:rsidR="007C5D22" w:rsidRDefault="007C5D22" w:rsidP="00C3482F">
      <w:pPr>
        <w:pStyle w:val="ListParagraph"/>
      </w:pPr>
      <w:r>
        <w:t>What underlying factors explain current performance trends across cohorts or assignments?</w:t>
      </w:r>
    </w:p>
    <w:p w14:paraId="3F5D92A4" w14:textId="11D5EE42" w:rsidR="007C5D22" w:rsidRDefault="007C5D22" w:rsidP="00C3482F">
      <w:pPr>
        <w:pStyle w:val="ListParagraph"/>
      </w:pPr>
      <w:r>
        <w:t>How effectively does the curriculum support the development of each dimension of a PLO?</w:t>
      </w:r>
    </w:p>
    <w:p w14:paraId="12DA8675" w14:textId="77777777" w:rsidR="00E06D13" w:rsidRDefault="00E06D13" w:rsidP="00021FD0">
      <w:pPr>
        <w:ind w:left="360"/>
      </w:pPr>
    </w:p>
    <w:p w14:paraId="46CC51B5" w14:textId="7E3A04E3" w:rsidR="00021FD0" w:rsidRPr="00137E5B" w:rsidRDefault="00021FD0" w:rsidP="00C40E89">
      <w:pPr>
        <w:pStyle w:val="Heading3"/>
      </w:pPr>
      <w:r w:rsidRPr="00137E5B">
        <w:t>Suggestions for Deeper Assessment:</w:t>
      </w:r>
    </w:p>
    <w:p w14:paraId="3AD7A9FC" w14:textId="77777777" w:rsidR="00E06D13" w:rsidRDefault="00E06D13" w:rsidP="00C3482F">
      <w:pPr>
        <w:pStyle w:val="ListParagraph"/>
        <w:numPr>
          <w:ilvl w:val="0"/>
          <w:numId w:val="10"/>
        </w:numPr>
      </w:pPr>
      <w:r w:rsidRPr="00E06D13">
        <w:t>Disaggregate PLOs into measurable components and analyze performance on each dimension.</w:t>
      </w:r>
    </w:p>
    <w:p w14:paraId="4C800DC3" w14:textId="77777777" w:rsidR="00E06D13" w:rsidRDefault="00E06D13" w:rsidP="00C3482F">
      <w:pPr>
        <w:pStyle w:val="ListParagraph"/>
        <w:numPr>
          <w:ilvl w:val="0"/>
          <w:numId w:val="10"/>
        </w:numPr>
      </w:pPr>
      <w:r w:rsidRPr="00E06D13">
        <w:t xml:space="preserve">Compare student outcomes across cohorts (before and after curriculum changes) to identify meaningful impact. </w:t>
      </w:r>
    </w:p>
    <w:p w14:paraId="048DDA2B" w14:textId="2303311E" w:rsidR="00E06D13" w:rsidRPr="00E06D13" w:rsidRDefault="00E06D13" w:rsidP="00C3482F">
      <w:pPr>
        <w:pStyle w:val="ListParagraph"/>
        <w:numPr>
          <w:ilvl w:val="0"/>
          <w:numId w:val="10"/>
        </w:numPr>
      </w:pPr>
      <w:r w:rsidRPr="00E06D13">
        <w:t>Use findings to guide targeted curriculum or instructional adjustments and reassess for improvement.</w:t>
      </w:r>
    </w:p>
    <w:p w14:paraId="2FDDE728" w14:textId="77777777" w:rsidR="00021FD0" w:rsidRDefault="00021FD0" w:rsidP="00021FD0">
      <w:pPr>
        <w:ind w:left="360"/>
      </w:pPr>
    </w:p>
    <w:p w14:paraId="7E9DC71F" w14:textId="77777777" w:rsidR="00021FD0" w:rsidRDefault="00021FD0" w:rsidP="00021FD0">
      <w:pPr>
        <w:ind w:left="360"/>
      </w:pPr>
    </w:p>
    <w:p w14:paraId="10C86D2F" w14:textId="77777777" w:rsidR="00B5104F" w:rsidRDefault="001E3C74" w:rsidP="00401C05">
      <w:pPr>
        <w:jc w:val="center"/>
        <w:rPr>
          <w:rStyle w:val="IntenseEmphasis"/>
          <w:color w:val="auto"/>
          <w:sz w:val="28"/>
          <w:szCs w:val="28"/>
        </w:rPr>
      </w:pPr>
      <w:r w:rsidRPr="00B5104F">
        <w:rPr>
          <w:rStyle w:val="IntenseEmphasis"/>
          <w:color w:val="auto"/>
          <w:sz w:val="28"/>
          <w:szCs w:val="28"/>
        </w:rPr>
        <w:t xml:space="preserve">The goal </w:t>
      </w:r>
      <w:r w:rsidR="183927CE" w:rsidRPr="00B5104F">
        <w:rPr>
          <w:rStyle w:val="IntenseEmphasis"/>
          <w:color w:val="auto"/>
          <w:sz w:val="28"/>
          <w:szCs w:val="28"/>
        </w:rPr>
        <w:t xml:space="preserve">of assessment is </w:t>
      </w:r>
      <w:r w:rsidR="00B5104F">
        <w:rPr>
          <w:rStyle w:val="IntenseEmphasis"/>
          <w:color w:val="auto"/>
          <w:sz w:val="28"/>
          <w:szCs w:val="28"/>
        </w:rPr>
        <w:t xml:space="preserve">measuring the </w:t>
      </w:r>
      <w:r w:rsidR="183927CE" w:rsidRPr="00B5104F">
        <w:rPr>
          <w:rStyle w:val="IntenseEmphasis"/>
          <w:color w:val="auto"/>
          <w:sz w:val="28"/>
          <w:szCs w:val="28"/>
        </w:rPr>
        <w:t>continuous improvement</w:t>
      </w:r>
      <w:r w:rsidR="00B5104F">
        <w:rPr>
          <w:rStyle w:val="IntenseEmphasis"/>
          <w:color w:val="auto"/>
          <w:sz w:val="28"/>
          <w:szCs w:val="28"/>
        </w:rPr>
        <w:t xml:space="preserve"> </w:t>
      </w:r>
    </w:p>
    <w:p w14:paraId="65630598" w14:textId="762C9F43" w:rsidR="006643A3" w:rsidRPr="00B5104F" w:rsidRDefault="00B5104F" w:rsidP="00401C05">
      <w:pPr>
        <w:jc w:val="center"/>
        <w:rPr>
          <w:rStyle w:val="IntenseEmphasis"/>
          <w:color w:val="auto"/>
          <w:sz w:val="28"/>
          <w:szCs w:val="28"/>
        </w:rPr>
      </w:pPr>
      <w:r>
        <w:rPr>
          <w:rStyle w:val="IntenseEmphasis"/>
          <w:color w:val="auto"/>
          <w:sz w:val="28"/>
          <w:szCs w:val="28"/>
        </w:rPr>
        <w:t>of student learning</w:t>
      </w:r>
      <w:r w:rsidR="009D29ED">
        <w:rPr>
          <w:rStyle w:val="IntenseEmphasis"/>
          <w:color w:val="auto"/>
          <w:sz w:val="28"/>
          <w:szCs w:val="28"/>
        </w:rPr>
        <w:t xml:space="preserve"> so action can be taken</w:t>
      </w:r>
      <w:r w:rsidR="00FD793A">
        <w:rPr>
          <w:rStyle w:val="IntenseEmphasis"/>
          <w:color w:val="auto"/>
          <w:sz w:val="28"/>
          <w:szCs w:val="28"/>
        </w:rPr>
        <w:t>; it’s</w:t>
      </w:r>
      <w:r w:rsidR="183927CE" w:rsidRPr="00B5104F">
        <w:rPr>
          <w:rStyle w:val="IntenseEmphasis"/>
          <w:color w:val="auto"/>
          <w:sz w:val="28"/>
          <w:szCs w:val="28"/>
        </w:rPr>
        <w:t xml:space="preserve"> not just checking a box.</w:t>
      </w:r>
    </w:p>
    <w:p w14:paraId="33C5968B" w14:textId="77777777" w:rsidR="00EC2C68" w:rsidRPr="00EC2C68" w:rsidRDefault="00EC2C68" w:rsidP="00EC2C68">
      <w:pPr>
        <w:jc w:val="center"/>
        <w:rPr>
          <w:rStyle w:val="IntenseEmphasis"/>
          <w:color w:val="7030A0"/>
          <w:sz w:val="28"/>
          <w:szCs w:val="28"/>
        </w:rPr>
      </w:pPr>
    </w:p>
    <w:p w14:paraId="23012139" w14:textId="3E93C6A7" w:rsidR="006643A3" w:rsidRPr="00B81B29" w:rsidRDefault="006643A3" w:rsidP="00B81B29"/>
    <w:p w14:paraId="6DB944FE" w14:textId="23D2F8AB" w:rsidR="006643A3" w:rsidRPr="00B81B29" w:rsidRDefault="183927CE" w:rsidP="00C40E89">
      <w:pPr>
        <w:pStyle w:val="Heading2"/>
      </w:pPr>
      <w:r w:rsidRPr="00B81B29">
        <w:t xml:space="preserve">Section </w:t>
      </w:r>
      <w:r w:rsidR="003D756F">
        <w:t>3</w:t>
      </w:r>
      <w:r w:rsidRPr="00B81B29">
        <w:t>. Assessment Plan, Schedule, and Data Sources</w:t>
      </w:r>
    </w:p>
    <w:p w14:paraId="5D6E58E3" w14:textId="77777777" w:rsidR="008B3F49" w:rsidRDefault="008B3F49" w:rsidP="00926E4C"/>
    <w:p w14:paraId="6D29836D" w14:textId="0C4168A6" w:rsidR="008B3F49" w:rsidRDefault="008B3F49" w:rsidP="005C295D">
      <w:pPr>
        <w:pStyle w:val="Heading4"/>
        <w:numPr>
          <w:ilvl w:val="0"/>
          <w:numId w:val="15"/>
        </w:numPr>
      </w:pPr>
      <w:r>
        <w:t>Assessment plan.</w:t>
      </w:r>
    </w:p>
    <w:p w14:paraId="7DC5A72C" w14:textId="77777777" w:rsidR="00211A70" w:rsidRDefault="008B3F49" w:rsidP="00211A70">
      <w:pPr>
        <w:ind w:left="360"/>
        <w:rPr>
          <w:b/>
          <w:bCs/>
        </w:rPr>
      </w:pPr>
      <w:r>
        <w:t xml:space="preserve">The </w:t>
      </w:r>
      <w:r w:rsidR="00B227BC">
        <w:t xml:space="preserve">2026 </w:t>
      </w:r>
      <w:r>
        <w:t>Student Outcomes Policy (</w:t>
      </w:r>
      <w:r w:rsidR="00B227BC">
        <w:t>available on the website July 1</w:t>
      </w:r>
      <w:r>
        <w:t xml:space="preserve">) indicates that </w:t>
      </w:r>
      <w:r w:rsidR="00963E0C">
        <w:t xml:space="preserve">all programs should review their assessment plans every two years.  This does not need to be reported separately from the annual/biennial program assessment cycle; however, it </w:t>
      </w:r>
      <w:r w:rsidR="00F145BF">
        <w:t>can and should be acknowledged within the report itself (and will usually show up in the multi-year assessment schedule).</w:t>
      </w:r>
      <w:r w:rsidR="00CD62BB">
        <w:t xml:space="preserve"> </w:t>
      </w:r>
      <w:r w:rsidR="00CD62BB" w:rsidRPr="00CD62BB">
        <w:rPr>
          <w:b/>
          <w:bCs/>
          <w:i/>
          <w:iCs/>
        </w:rPr>
        <w:t>You may use the table provided, or you may delete and use a different format.</w:t>
      </w:r>
      <w:r w:rsidR="00CD62BB" w:rsidRPr="00CD62BB">
        <w:rPr>
          <w:b/>
          <w:bCs/>
        </w:rPr>
        <w:t> </w:t>
      </w:r>
    </w:p>
    <w:p w14:paraId="1BF5FFF3" w14:textId="77777777" w:rsidR="00211A70" w:rsidRDefault="00211A70" w:rsidP="00211A70">
      <w:pPr>
        <w:ind w:left="360"/>
      </w:pPr>
    </w:p>
    <w:p w14:paraId="31FF4135" w14:textId="478147B0" w:rsidR="00211A70" w:rsidRPr="00211A70" w:rsidRDefault="00F606AB" w:rsidP="00F606AB">
      <w:pPr>
        <w:pStyle w:val="Heading5"/>
        <w:rPr>
          <w:b/>
          <w:bCs/>
        </w:rPr>
      </w:pPr>
      <w:r>
        <w:t>A note about d</w:t>
      </w:r>
      <w:r w:rsidR="00211A70" w:rsidRPr="00B81B29">
        <w:t>ata sources</w:t>
      </w:r>
      <w:r>
        <w:t>:</w:t>
      </w:r>
      <w:r w:rsidR="00211A70" w:rsidRPr="00B81B29">
        <w:t xml:space="preserve"> </w:t>
      </w:r>
    </w:p>
    <w:p w14:paraId="69E804EF" w14:textId="77777777" w:rsidR="00F606AB" w:rsidRDefault="00211A70" w:rsidP="00F606AB">
      <w:pPr>
        <w:ind w:left="720"/>
      </w:pPr>
      <w:r w:rsidRPr="006D6D90">
        <w:t xml:space="preserve">Examples of </w:t>
      </w:r>
      <w:r w:rsidRPr="006D6D90">
        <w:rPr>
          <w:color w:val="0070C0"/>
        </w:rPr>
        <w:t xml:space="preserve">direct evidence </w:t>
      </w:r>
      <w:r w:rsidRPr="006D6D90">
        <w:t>of student learning</w:t>
      </w:r>
      <w:r>
        <w:t xml:space="preserve"> include</w:t>
      </w:r>
      <w:r w:rsidRPr="006D6D90">
        <w:t>:</w:t>
      </w:r>
      <w:r w:rsidRPr="00B81B29">
        <w:t xml:space="preserve"> </w:t>
      </w:r>
      <w:r w:rsidRPr="00B01056">
        <w:rPr>
          <w:i/>
          <w:iCs/>
        </w:rPr>
        <w:t>intentionally</w:t>
      </w:r>
      <w:r w:rsidRPr="00B81B29">
        <w:t xml:space="preserve"> designed exam questions, written work, performances, presentations, projects (using a program-specific rubric – not a course grading rubric); scores and pass rates on licensure exams that assess key learning goals; observations of student skill or behavior; summaries classroom response systems; student reflections. </w:t>
      </w:r>
    </w:p>
    <w:p w14:paraId="293C8BBA" w14:textId="77777777" w:rsidR="00F606AB" w:rsidRDefault="00F606AB" w:rsidP="00F606AB">
      <w:pPr>
        <w:ind w:left="720"/>
      </w:pPr>
    </w:p>
    <w:p w14:paraId="4838B790" w14:textId="0512470E" w:rsidR="00211A70" w:rsidRPr="00F606AB" w:rsidRDefault="00211A70" w:rsidP="00F606AB">
      <w:pPr>
        <w:ind w:left="720"/>
      </w:pPr>
      <w:r w:rsidRPr="006D6D90">
        <w:rPr>
          <w:color w:val="0070C0"/>
        </w:rPr>
        <w:t xml:space="preserve">Indirect evidence </w:t>
      </w:r>
      <w:r w:rsidRPr="00B81B29">
        <w:t xml:space="preserve">of student learning includes course grades, grade distributions, assignment grades, retention and graduation rates, alumni perceptions, and questions </w:t>
      </w:r>
      <w:r w:rsidRPr="00B81B29">
        <w:lastRenderedPageBreak/>
        <w:t xml:space="preserve">on end-of-course evaluations forms related to the course rather than the instructor. </w:t>
      </w:r>
      <w:r w:rsidRPr="0008138A">
        <w:rPr>
          <w:i/>
          <w:iCs/>
          <w:color w:val="auto"/>
        </w:rPr>
        <w:t>These may provide information for identifying areas of learning that need more direct assessment but should NOT be used as primary sources for direct evidence of student learning.</w:t>
      </w:r>
    </w:p>
    <w:p w14:paraId="564319BC" w14:textId="77777777" w:rsidR="00F145BF" w:rsidRDefault="00F145BF" w:rsidP="00926E4C"/>
    <w:p w14:paraId="5EE702AF" w14:textId="525A32D4" w:rsidR="00A132D8" w:rsidRDefault="00BA339B" w:rsidP="005C295D">
      <w:pPr>
        <w:pStyle w:val="Heading4"/>
        <w:numPr>
          <w:ilvl w:val="0"/>
          <w:numId w:val="15"/>
        </w:numPr>
      </w:pPr>
      <w:r>
        <w:t>Multi-year assessments</w:t>
      </w:r>
      <w:r w:rsidR="005067F4">
        <w:t xml:space="preserve"> s</w:t>
      </w:r>
      <w:r w:rsidR="00A132D8">
        <w:t>chedule.</w:t>
      </w:r>
    </w:p>
    <w:p w14:paraId="09EFF755" w14:textId="0748E057" w:rsidR="00926E4C" w:rsidRPr="00B81B29" w:rsidRDefault="183927CE" w:rsidP="005C295D">
      <w:pPr>
        <w:ind w:left="360"/>
      </w:pPr>
      <w:r w:rsidRPr="00B81B29">
        <w:t xml:space="preserve">Provide a multi-year assessment schedule that will show when all program learning outcomes will be assessed, and by what criteria (data). </w:t>
      </w:r>
      <w:r w:rsidR="00926E4C" w:rsidRPr="00B81B29">
        <w:t>This schedule can be adjusted as needed. Attempt to assess all PLOs every three years</w:t>
      </w:r>
      <w:r w:rsidR="009333E3">
        <w:t xml:space="preserve">.  </w:t>
      </w:r>
    </w:p>
    <w:p w14:paraId="2ADB3C41" w14:textId="77777777" w:rsidR="00395DC9" w:rsidRDefault="00395DC9" w:rsidP="00B81B29"/>
    <w:p w14:paraId="1FEBF701" w14:textId="5F3DCA67" w:rsidR="00B66BE0" w:rsidRDefault="00395DC9" w:rsidP="007508C1">
      <w:pPr>
        <w:ind w:left="360"/>
      </w:pPr>
      <w:r w:rsidRPr="00395DC9">
        <w:rPr>
          <w:rStyle w:val="Heading4Char"/>
        </w:rPr>
        <w:t xml:space="preserve">Assessing multiple programs </w:t>
      </w:r>
      <w:r w:rsidR="007F772C">
        <w:rPr>
          <w:rStyle w:val="Heading4Char"/>
        </w:rPr>
        <w:t xml:space="preserve">and documenting </w:t>
      </w:r>
      <w:r w:rsidRPr="00395DC9">
        <w:rPr>
          <w:rStyle w:val="Heading4Char"/>
        </w:rPr>
        <w:t>in one report:</w:t>
      </w:r>
      <w:r w:rsidRPr="00395DC9">
        <w:rPr>
          <w:color w:val="0070C0"/>
        </w:rPr>
        <w:t xml:space="preserve"> </w:t>
      </w:r>
      <w:r w:rsidRPr="00395DC9">
        <w:t xml:space="preserve"> </w:t>
      </w:r>
    </w:p>
    <w:p w14:paraId="4998DAA8" w14:textId="7B7AD388" w:rsidR="00CE7EF6" w:rsidRDefault="183927CE" w:rsidP="00C3482F">
      <w:pPr>
        <w:pStyle w:val="ListParagraph"/>
      </w:pPr>
      <w:r w:rsidRPr="00B81B29">
        <w:t>If assessing multiple programs</w:t>
      </w:r>
      <w:r w:rsidR="00955D67">
        <w:t xml:space="preserve"> together</w:t>
      </w:r>
      <w:r w:rsidRPr="00B81B29">
        <w:t xml:space="preserve">, </w:t>
      </w:r>
      <w:r w:rsidR="00926E4C">
        <w:t>explain</w:t>
      </w:r>
      <w:r w:rsidRPr="00B81B29">
        <w:t xml:space="preserve"> the rationale for combining those </w:t>
      </w:r>
      <w:r w:rsidR="00955D67">
        <w:t>programs into one assessment</w:t>
      </w:r>
      <w:r w:rsidRPr="00B81B29">
        <w:t>.</w:t>
      </w:r>
      <w:r w:rsidR="00955D67">
        <w:t xml:space="preserve">  How </w:t>
      </w:r>
      <w:r w:rsidR="00C83384">
        <w:t>are the</w:t>
      </w:r>
      <w:r w:rsidR="00955D67">
        <w:t xml:space="preserve"> nuances between programs</w:t>
      </w:r>
      <w:r w:rsidR="00C83384">
        <w:t xml:space="preserve"> (particularly if they are NOT options with one program/major) taken into consideration when using this kind of a model?</w:t>
      </w:r>
      <w:r w:rsidRPr="00B81B29">
        <w:t xml:space="preserve"> </w:t>
      </w:r>
    </w:p>
    <w:p w14:paraId="56003BEA" w14:textId="36EE59C8" w:rsidR="00926E4C" w:rsidRDefault="00B66BE0" w:rsidP="00C3482F">
      <w:pPr>
        <w:pStyle w:val="ListParagraph"/>
      </w:pPr>
      <w:r>
        <w:t xml:space="preserve">If a standard set of learning outcomes have been developed to cover all of </w:t>
      </w:r>
      <w:r w:rsidR="00C83384">
        <w:t>a department’s</w:t>
      </w:r>
      <w:r>
        <w:t xml:space="preserve"> programs, then each program’s learning outcomes should map to the departmental level LOs.</w:t>
      </w:r>
      <w:r w:rsidR="00C83384">
        <w:t xml:space="preserve"> </w:t>
      </w:r>
      <w:r w:rsidR="001866B7">
        <w:t>A</w:t>
      </w:r>
      <w:r w:rsidR="00C83384">
        <w:t xml:space="preserve"> map of how this align</w:t>
      </w:r>
      <w:r w:rsidR="001866B7">
        <w:t>ment</w:t>
      </w:r>
      <w:r w:rsidR="00C83384">
        <w:t xml:space="preserve"> should either exist in the report on a website</w:t>
      </w:r>
      <w:r w:rsidR="007508C1">
        <w:t xml:space="preserve"> for reference.</w:t>
      </w:r>
      <w:r w:rsidR="00E24134">
        <w:t xml:space="preserve"> (If on a website, please include a link to the website in your report.)</w:t>
      </w:r>
    </w:p>
    <w:p w14:paraId="10ABC8A3" w14:textId="2410F2C0" w:rsidR="006643A3" w:rsidRPr="00B81B29" w:rsidRDefault="006643A3" w:rsidP="00B81B29"/>
    <w:p w14:paraId="76D36225" w14:textId="3F9FF8CE" w:rsidR="00C01943" w:rsidRDefault="00C01943" w:rsidP="00C01943">
      <w:pPr>
        <w:pStyle w:val="Heading4"/>
        <w:numPr>
          <w:ilvl w:val="0"/>
          <w:numId w:val="15"/>
        </w:numPr>
      </w:pPr>
      <w:r>
        <w:t>Threshold Values</w:t>
      </w:r>
    </w:p>
    <w:p w14:paraId="26691563" w14:textId="77777777" w:rsidR="00C01943" w:rsidRPr="00B81B29" w:rsidRDefault="00C01943" w:rsidP="00C4219D">
      <w:pPr>
        <w:ind w:left="720"/>
      </w:pPr>
      <w:r w:rsidRPr="00B81B29">
        <w:t>What are the threshold values for which your program demonstrates student achievement? Provide a rationale for your threshold values. Delete the example provided in the table before submission and create your own table.</w:t>
      </w:r>
    </w:p>
    <w:p w14:paraId="2BB1EA9A" w14:textId="6D26EA88" w:rsidR="006643A3" w:rsidRPr="00B81B29" w:rsidRDefault="006643A3" w:rsidP="00B81B29"/>
    <w:p w14:paraId="191873C4" w14:textId="1C79F9E7" w:rsidR="006643A3" w:rsidRPr="00B81B29" w:rsidRDefault="183927CE" w:rsidP="003D756F">
      <w:pPr>
        <w:pStyle w:val="Heading3"/>
      </w:pPr>
      <w:r w:rsidRPr="00B81B29">
        <w:t xml:space="preserve">Section </w:t>
      </w:r>
      <w:r w:rsidR="003D756F">
        <w:t>4</w:t>
      </w:r>
      <w:r w:rsidRPr="00B81B29">
        <w:t>. What was Done</w:t>
      </w:r>
    </w:p>
    <w:p w14:paraId="66BAA320" w14:textId="77777777" w:rsidR="00CE4BB8" w:rsidRPr="00B81B29" w:rsidRDefault="183927CE" w:rsidP="00CE4BB8">
      <w:pPr>
        <w:ind w:left="360"/>
      </w:pPr>
      <w:r w:rsidRPr="00B81B29">
        <w:t xml:space="preserve">Fill in the subcategories as requested and include your </w:t>
      </w:r>
      <w:r w:rsidRPr="009D5546">
        <w:rPr>
          <w:i/>
          <w:iCs/>
        </w:rPr>
        <w:t>program assessment specific rubric</w:t>
      </w:r>
      <w:r w:rsidRPr="00B81B29">
        <w:t xml:space="preserve">. Example provided should be deleted before submission. </w:t>
      </w:r>
      <w:r w:rsidR="00CE4BB8" w:rsidRPr="00B81B29">
        <w:t xml:space="preserve">This section allows you to explain your methodology for data collection and analysis; as well as to acknowledge who took part in assessment. </w:t>
      </w:r>
    </w:p>
    <w:p w14:paraId="2110F172" w14:textId="77777777" w:rsidR="00CE4BB8" w:rsidRPr="00B81B29" w:rsidRDefault="00CE4BB8" w:rsidP="00CE4BB8"/>
    <w:p w14:paraId="220B6EB1" w14:textId="77777777" w:rsidR="00CE4BB8" w:rsidRPr="00B81B29" w:rsidRDefault="00CE4BB8" w:rsidP="00CE4BB8">
      <w:pPr>
        <w:ind w:left="720"/>
      </w:pPr>
      <w:r w:rsidRPr="00B81B29">
        <w:t xml:space="preserve">Note: The AOC does not require programs to include proprietary materials (e.g., exam questions or examples) in assessment reports. </w:t>
      </w:r>
      <w:r>
        <w:t>P</w:t>
      </w:r>
      <w:r w:rsidRPr="00B81B29">
        <w:t>rograms may choose to include such materials for internal reference if they find it helpful. If student work is included, all identifying information must be removed. Reports may present data on assessment methods (e.g., publications, theses/dissertations, qualifying exams) or successful completions in table format, when relevant to learning outcomes. In cases where student numbers are small and individuals could be identified, reports should emphasize program-level improvements rather than individual outcomes. Departments are responsible for uploading their reports to their websites and should carefully determine what content is appropriate for public access.</w:t>
      </w:r>
    </w:p>
    <w:p w14:paraId="245E1324" w14:textId="2BA252B2" w:rsidR="006643A3" w:rsidRPr="00B81B29" w:rsidRDefault="006643A3" w:rsidP="00B81B29"/>
    <w:p w14:paraId="34DA44C0" w14:textId="343C4E68" w:rsidR="006643A3" w:rsidRPr="00B81B29" w:rsidRDefault="006643A3" w:rsidP="00B81B29"/>
    <w:p w14:paraId="67E864E3" w14:textId="1F358B8E" w:rsidR="006643A3" w:rsidRDefault="183927CE" w:rsidP="00C3482F">
      <w:pPr>
        <w:pStyle w:val="ListParagraph"/>
        <w:numPr>
          <w:ilvl w:val="0"/>
          <w:numId w:val="17"/>
        </w:numPr>
      </w:pPr>
      <w:r w:rsidRPr="00C4219D">
        <w:rPr>
          <w:rStyle w:val="Heading5Char"/>
        </w:rPr>
        <w:t>Self-reporting metric</w:t>
      </w:r>
      <w:r w:rsidRPr="00B81B29">
        <w:t xml:space="preserve">. This is used for accreditation </w:t>
      </w:r>
      <w:r w:rsidR="00CE4BB8">
        <w:t xml:space="preserve">reporting </w:t>
      </w:r>
      <w:r w:rsidRPr="00B81B29">
        <w:t>purposes.</w:t>
      </w:r>
      <w:r w:rsidR="00CF7E18">
        <w:t xml:space="preserve"> Please check Yes or No and provide additional information as needed</w:t>
      </w:r>
    </w:p>
    <w:p w14:paraId="38D13277" w14:textId="77777777" w:rsidR="00CC1FAC" w:rsidRDefault="004463A1" w:rsidP="00C3482F">
      <w:pPr>
        <w:pStyle w:val="ListParagraph"/>
        <w:numPr>
          <w:ilvl w:val="0"/>
          <w:numId w:val="17"/>
        </w:numPr>
      </w:pPr>
      <w:r>
        <w:rPr>
          <w:rStyle w:val="Heading5Char"/>
        </w:rPr>
        <w:t>Data collection and analysis</w:t>
      </w:r>
      <w:r w:rsidRPr="004463A1">
        <w:t>.</w:t>
      </w:r>
      <w:r>
        <w:t xml:space="preserve">  Document </w:t>
      </w:r>
      <w:r w:rsidR="00CC1FAC">
        <w:t>process.</w:t>
      </w:r>
    </w:p>
    <w:p w14:paraId="30BE075B" w14:textId="05961D5B" w:rsidR="006643A3" w:rsidRPr="00B81B29" w:rsidRDefault="183927CE" w:rsidP="00C3482F">
      <w:pPr>
        <w:pStyle w:val="ListParagraph"/>
        <w:numPr>
          <w:ilvl w:val="0"/>
          <w:numId w:val="17"/>
        </w:numPr>
      </w:pPr>
      <w:r w:rsidRPr="00CC1FAC">
        <w:rPr>
          <w:rStyle w:val="Heading5Char"/>
        </w:rPr>
        <w:t>Rubrics</w:t>
      </w:r>
      <w:r w:rsidR="00CC1FAC" w:rsidRPr="00CC1FAC">
        <w:t>.</w:t>
      </w:r>
      <w:r w:rsidRPr="00B81B29">
        <w:t xml:space="preserve"> Your rubric can be different than the example and have a separate set of criteria and levels of evaluation.  </w:t>
      </w:r>
    </w:p>
    <w:p w14:paraId="53C6ABFE" w14:textId="76136739" w:rsidR="006643A3" w:rsidRPr="00B81B29" w:rsidRDefault="006643A3" w:rsidP="00B81B29"/>
    <w:p w14:paraId="0FBBE48E" w14:textId="77777777" w:rsidR="00181AB0" w:rsidRDefault="183927CE" w:rsidP="004463A1">
      <w:pPr>
        <w:ind w:left="720"/>
      </w:pPr>
      <w:r w:rsidRPr="00B81B29">
        <w:t>Note: Rubrics can be created to assess learning at any course level, with evaluation scores and threshold percentages adjusted accordingly. Some rubrics are designed for use across multiple course levels—for example, to assess outcomes in both lower- and upper-division courses—depending on how the assessment is structured. If you’re evaluating more foundational learning outcomes, it’s appropriate to focus on lower-division coursework where those outcomes are typically introduced and expected to be achieved earlier in a student’s academic progression.</w:t>
      </w:r>
    </w:p>
    <w:p w14:paraId="2FD106FE" w14:textId="77777777" w:rsidR="00181AB0" w:rsidRDefault="00181AB0" w:rsidP="004463A1">
      <w:pPr>
        <w:ind w:left="720"/>
      </w:pPr>
    </w:p>
    <w:tbl>
      <w:tblPr>
        <w:tblStyle w:val="TableGrid"/>
        <w:tblW w:w="0" w:type="auto"/>
        <w:tblLook w:val="04A0" w:firstRow="1" w:lastRow="0" w:firstColumn="1" w:lastColumn="0" w:noHBand="0" w:noVBand="1"/>
      </w:tblPr>
      <w:tblGrid>
        <w:gridCol w:w="1795"/>
        <w:gridCol w:w="1980"/>
        <w:gridCol w:w="1890"/>
        <w:gridCol w:w="1710"/>
        <w:gridCol w:w="1890"/>
      </w:tblGrid>
      <w:tr w:rsidR="00181AB0" w:rsidRPr="00B75D98" w14:paraId="2C7A9FFD" w14:textId="77777777" w:rsidTr="00D327A8">
        <w:tc>
          <w:tcPr>
            <w:tcW w:w="1795" w:type="dxa"/>
          </w:tcPr>
          <w:p w14:paraId="01061B7D"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Indicators</w:t>
            </w:r>
          </w:p>
        </w:tc>
        <w:tc>
          <w:tcPr>
            <w:tcW w:w="1980" w:type="dxa"/>
          </w:tcPr>
          <w:p w14:paraId="62593C63"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Beginning - 1</w:t>
            </w:r>
          </w:p>
        </w:tc>
        <w:tc>
          <w:tcPr>
            <w:tcW w:w="1890" w:type="dxa"/>
          </w:tcPr>
          <w:p w14:paraId="146E81BA"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Developing- 2</w:t>
            </w:r>
          </w:p>
        </w:tc>
        <w:tc>
          <w:tcPr>
            <w:tcW w:w="1710" w:type="dxa"/>
          </w:tcPr>
          <w:p w14:paraId="6E7380C1"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Competent- 3</w:t>
            </w:r>
          </w:p>
        </w:tc>
        <w:tc>
          <w:tcPr>
            <w:tcW w:w="1890" w:type="dxa"/>
          </w:tcPr>
          <w:p w14:paraId="601F5131"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Accomplished- 4</w:t>
            </w:r>
          </w:p>
        </w:tc>
      </w:tr>
      <w:tr w:rsidR="00181AB0" w:rsidRPr="00B75D98" w14:paraId="3AAECCD8" w14:textId="77777777" w:rsidTr="00D327A8">
        <w:tc>
          <w:tcPr>
            <w:tcW w:w="1795" w:type="dxa"/>
            <w:vAlign w:val="center"/>
          </w:tcPr>
          <w:p w14:paraId="775888EB" w14:textId="77777777" w:rsidR="00181AB0" w:rsidRPr="00B75D98" w:rsidRDefault="00181AB0" w:rsidP="00D327A8">
            <w:pPr>
              <w:snapToGrid w:val="0"/>
              <w:rPr>
                <w:rFonts w:cs="Calibri"/>
                <w:b/>
                <w:sz w:val="20"/>
                <w:szCs w:val="20"/>
              </w:rPr>
            </w:pPr>
            <w:r w:rsidRPr="00B75D98">
              <w:rPr>
                <w:rFonts w:cs="Calibri"/>
                <w:b/>
                <w:sz w:val="20"/>
                <w:szCs w:val="20"/>
              </w:rPr>
              <w:t>Analysis of Information, Ideas, or Concepts</w:t>
            </w:r>
          </w:p>
        </w:tc>
        <w:tc>
          <w:tcPr>
            <w:tcW w:w="1980" w:type="dxa"/>
            <w:vAlign w:val="center"/>
          </w:tcPr>
          <w:p w14:paraId="1A89A1AD"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Identifies problem types</w:t>
            </w:r>
          </w:p>
        </w:tc>
        <w:tc>
          <w:tcPr>
            <w:tcW w:w="1890" w:type="dxa"/>
            <w:vAlign w:val="center"/>
          </w:tcPr>
          <w:p w14:paraId="2D0C1888"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Focuses on difficult problems with persistence</w:t>
            </w:r>
          </w:p>
        </w:tc>
        <w:tc>
          <w:tcPr>
            <w:tcW w:w="1710" w:type="dxa"/>
            <w:vAlign w:val="center"/>
          </w:tcPr>
          <w:p w14:paraId="4415D31A"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Understands complexity of a problem</w:t>
            </w:r>
          </w:p>
        </w:tc>
        <w:tc>
          <w:tcPr>
            <w:tcW w:w="1890" w:type="dxa"/>
            <w:vAlign w:val="center"/>
          </w:tcPr>
          <w:p w14:paraId="1450610B"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Provides logical interpretations of data</w:t>
            </w:r>
          </w:p>
          <w:p w14:paraId="6AA7993E" w14:textId="77777777" w:rsidR="00181AB0" w:rsidRPr="00B75D98" w:rsidRDefault="00181AB0" w:rsidP="00D327A8">
            <w:pPr>
              <w:snapToGrid w:val="0"/>
              <w:rPr>
                <w:rFonts w:cs="Calibri"/>
                <w:b/>
                <w:sz w:val="20"/>
                <w:szCs w:val="20"/>
              </w:rPr>
            </w:pPr>
          </w:p>
        </w:tc>
      </w:tr>
      <w:tr w:rsidR="00181AB0" w:rsidRPr="00B75D98" w14:paraId="532B1EEE" w14:textId="77777777" w:rsidTr="00D327A8">
        <w:tc>
          <w:tcPr>
            <w:tcW w:w="1795" w:type="dxa"/>
            <w:vAlign w:val="center"/>
          </w:tcPr>
          <w:p w14:paraId="5EF554D5" w14:textId="77777777" w:rsidR="00181AB0" w:rsidRPr="00B75D98" w:rsidRDefault="00181AB0" w:rsidP="00D327A8">
            <w:pPr>
              <w:snapToGrid w:val="0"/>
              <w:rPr>
                <w:rFonts w:cs="Calibri"/>
                <w:b/>
                <w:sz w:val="20"/>
                <w:szCs w:val="20"/>
              </w:rPr>
            </w:pPr>
            <w:r w:rsidRPr="00B75D98">
              <w:rPr>
                <w:rFonts w:cs="Calibri"/>
                <w:b/>
                <w:sz w:val="20"/>
                <w:szCs w:val="20"/>
              </w:rPr>
              <w:t>Application of Information, Ideas, or Concepts</w:t>
            </w:r>
          </w:p>
        </w:tc>
        <w:tc>
          <w:tcPr>
            <w:tcW w:w="1980" w:type="dxa"/>
            <w:vAlign w:val="center"/>
          </w:tcPr>
          <w:p w14:paraId="04C44B78" w14:textId="77777777" w:rsidR="00181AB0" w:rsidRPr="00B75D98" w:rsidRDefault="00181AB0" w:rsidP="00D327A8">
            <w:pPr>
              <w:snapToGrid w:val="0"/>
              <w:rPr>
                <w:rFonts w:cs="Calibri"/>
                <w:b/>
                <w:sz w:val="20"/>
                <w:szCs w:val="20"/>
              </w:rPr>
            </w:pPr>
            <w:r w:rsidRPr="00B75D98">
              <w:rPr>
                <w:rFonts w:cs="Calibri"/>
                <w:b/>
                <w:sz w:val="20"/>
                <w:szCs w:val="20"/>
              </w:rPr>
              <w:t>Uses standard solution methods</w:t>
            </w:r>
          </w:p>
        </w:tc>
        <w:tc>
          <w:tcPr>
            <w:tcW w:w="1890" w:type="dxa"/>
            <w:vAlign w:val="center"/>
          </w:tcPr>
          <w:p w14:paraId="798FF722" w14:textId="77777777" w:rsidR="00181AB0" w:rsidRPr="00B75D98" w:rsidRDefault="00181AB0" w:rsidP="00D327A8">
            <w:pPr>
              <w:snapToGrid w:val="0"/>
              <w:rPr>
                <w:rFonts w:cs="Calibri"/>
                <w:b/>
                <w:sz w:val="20"/>
                <w:szCs w:val="20"/>
              </w:rPr>
            </w:pPr>
            <w:r w:rsidRPr="00B75D98">
              <w:rPr>
                <w:rFonts w:cs="Calibri"/>
                <w:b/>
                <w:sz w:val="20"/>
                <w:szCs w:val="20"/>
              </w:rPr>
              <w:t>Provides a logical interpretation of the data</w:t>
            </w:r>
          </w:p>
        </w:tc>
        <w:tc>
          <w:tcPr>
            <w:tcW w:w="1710" w:type="dxa"/>
            <w:vAlign w:val="center"/>
          </w:tcPr>
          <w:p w14:paraId="2308CA91"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Employs creativity in search of a solution</w:t>
            </w:r>
          </w:p>
        </w:tc>
        <w:tc>
          <w:tcPr>
            <w:tcW w:w="1890" w:type="dxa"/>
            <w:vAlign w:val="center"/>
          </w:tcPr>
          <w:p w14:paraId="234FCFDB"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Achieves clear, unambiguous conclusions from the data</w:t>
            </w:r>
          </w:p>
          <w:p w14:paraId="47E5BA5B" w14:textId="77777777" w:rsidR="00181AB0" w:rsidRPr="00B75D98" w:rsidRDefault="00181AB0" w:rsidP="00D327A8">
            <w:pPr>
              <w:snapToGrid w:val="0"/>
              <w:rPr>
                <w:rFonts w:cs="Calibri"/>
                <w:b/>
                <w:sz w:val="20"/>
                <w:szCs w:val="20"/>
              </w:rPr>
            </w:pPr>
          </w:p>
        </w:tc>
      </w:tr>
      <w:tr w:rsidR="00181AB0" w:rsidRPr="00B75D98" w14:paraId="2FFBDDA2" w14:textId="77777777" w:rsidTr="00D327A8">
        <w:tc>
          <w:tcPr>
            <w:tcW w:w="1795" w:type="dxa"/>
            <w:vAlign w:val="center"/>
          </w:tcPr>
          <w:p w14:paraId="384E838D" w14:textId="77777777" w:rsidR="00181AB0" w:rsidRPr="00B75D98" w:rsidRDefault="00181AB0" w:rsidP="00D327A8">
            <w:pPr>
              <w:snapToGrid w:val="0"/>
              <w:rPr>
                <w:rFonts w:cs="Calibri"/>
                <w:b/>
                <w:sz w:val="20"/>
                <w:szCs w:val="20"/>
              </w:rPr>
            </w:pPr>
            <w:r w:rsidRPr="00B75D98">
              <w:rPr>
                <w:rFonts w:cs="Calibri"/>
                <w:b/>
                <w:sz w:val="20"/>
                <w:szCs w:val="20"/>
              </w:rPr>
              <w:t>Synthesis</w:t>
            </w:r>
          </w:p>
        </w:tc>
        <w:tc>
          <w:tcPr>
            <w:tcW w:w="1980" w:type="dxa"/>
            <w:vAlign w:val="center"/>
          </w:tcPr>
          <w:p w14:paraId="37199210"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Identifies intermediate steps required that connects previous material</w:t>
            </w:r>
          </w:p>
        </w:tc>
        <w:tc>
          <w:tcPr>
            <w:tcW w:w="1890" w:type="dxa"/>
            <w:vAlign w:val="center"/>
          </w:tcPr>
          <w:p w14:paraId="6B05417B"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Recognizes and values alternative problem-solving methods</w:t>
            </w:r>
          </w:p>
        </w:tc>
        <w:tc>
          <w:tcPr>
            <w:tcW w:w="1710" w:type="dxa"/>
            <w:vAlign w:val="center"/>
          </w:tcPr>
          <w:p w14:paraId="43AE0B70"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Connects ideas or develops solutions in a clear coherent order</w:t>
            </w:r>
          </w:p>
        </w:tc>
        <w:tc>
          <w:tcPr>
            <w:tcW w:w="1890" w:type="dxa"/>
            <w:vAlign w:val="center"/>
          </w:tcPr>
          <w:p w14:paraId="06F995FE" w14:textId="77777777" w:rsidR="00181AB0" w:rsidRPr="00B75D98" w:rsidRDefault="00181AB0" w:rsidP="00D327A8">
            <w:pPr>
              <w:snapToGrid w:val="0"/>
              <w:rPr>
                <w:rFonts w:cs="Calibri"/>
                <w:b/>
                <w:sz w:val="20"/>
                <w:szCs w:val="20"/>
              </w:rPr>
            </w:pPr>
            <w:r w:rsidRPr="00B75D98">
              <w:rPr>
                <w:rFonts w:cs="Calibri"/>
                <w:b/>
                <w:sz w:val="20"/>
                <w:szCs w:val="20"/>
              </w:rPr>
              <w:t>Develops multiple solutions, positions, or perspectives</w:t>
            </w:r>
          </w:p>
        </w:tc>
      </w:tr>
      <w:tr w:rsidR="00181AB0" w:rsidRPr="00B75D98" w14:paraId="1E9B7A37" w14:textId="77777777" w:rsidTr="00D327A8">
        <w:tc>
          <w:tcPr>
            <w:tcW w:w="1795" w:type="dxa"/>
            <w:vAlign w:val="center"/>
          </w:tcPr>
          <w:p w14:paraId="6C7257B5"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Evaluation</w:t>
            </w:r>
          </w:p>
        </w:tc>
        <w:tc>
          <w:tcPr>
            <w:tcW w:w="1980" w:type="dxa"/>
            <w:vAlign w:val="center"/>
          </w:tcPr>
          <w:p w14:paraId="799B9C02"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Check the solutions against the issue</w:t>
            </w:r>
          </w:p>
        </w:tc>
        <w:tc>
          <w:tcPr>
            <w:tcW w:w="1890" w:type="dxa"/>
            <w:vAlign w:val="center"/>
          </w:tcPr>
          <w:p w14:paraId="61BCF016"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Identifies what the final solution should determine</w:t>
            </w:r>
          </w:p>
        </w:tc>
        <w:tc>
          <w:tcPr>
            <w:tcW w:w="1710" w:type="dxa"/>
            <w:vAlign w:val="center"/>
          </w:tcPr>
          <w:p w14:paraId="28536378"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Recognizes hidden assumptions and implied premises</w:t>
            </w:r>
          </w:p>
        </w:tc>
        <w:tc>
          <w:tcPr>
            <w:tcW w:w="1890" w:type="dxa"/>
            <w:vAlign w:val="center"/>
          </w:tcPr>
          <w:p w14:paraId="221BC684" w14:textId="77777777" w:rsidR="00181AB0" w:rsidRPr="00B75D98" w:rsidRDefault="00181AB0" w:rsidP="00D327A8">
            <w:pPr>
              <w:tabs>
                <w:tab w:val="right" w:pos="1800"/>
                <w:tab w:val="left" w:pos="1980"/>
              </w:tabs>
              <w:snapToGrid w:val="0"/>
              <w:rPr>
                <w:rFonts w:cs="Calibri"/>
                <w:b/>
                <w:sz w:val="20"/>
                <w:szCs w:val="20"/>
              </w:rPr>
            </w:pPr>
            <w:r w:rsidRPr="00B75D98">
              <w:rPr>
                <w:rFonts w:cs="Calibri"/>
                <w:b/>
                <w:sz w:val="20"/>
                <w:szCs w:val="20"/>
              </w:rPr>
              <w:t>Evaluates premises, relevance to a conclusion and adequacy of support for conclusion.</w:t>
            </w:r>
          </w:p>
        </w:tc>
      </w:tr>
    </w:tbl>
    <w:p w14:paraId="311C76B3" w14:textId="363BD116" w:rsidR="006643A3" w:rsidRPr="00B81B29" w:rsidRDefault="00000000" w:rsidP="004463A1">
      <w:pPr>
        <w:ind w:left="720"/>
      </w:pPr>
      <w:r w:rsidRPr="00B81B29">
        <w:br/>
      </w:r>
      <w:r w:rsidRPr="00B81B29">
        <w:tab/>
      </w:r>
    </w:p>
    <w:p w14:paraId="00EC29F2" w14:textId="5F252DDC" w:rsidR="006643A3" w:rsidRPr="00B81B29" w:rsidRDefault="183927CE" w:rsidP="005B7AAC">
      <w:pPr>
        <w:pStyle w:val="Heading3"/>
      </w:pPr>
      <w:r w:rsidRPr="00B81B29">
        <w:t xml:space="preserve">Section </w:t>
      </w:r>
      <w:r w:rsidR="005B7AAC">
        <w:t>5</w:t>
      </w:r>
      <w:r w:rsidRPr="00B81B29">
        <w:t xml:space="preserve">. What was Learned. </w:t>
      </w:r>
    </w:p>
    <w:p w14:paraId="6B8F77D9" w14:textId="14299008" w:rsidR="006643A3" w:rsidRPr="00B81B29" w:rsidRDefault="183927CE" w:rsidP="00B81B29">
      <w:r w:rsidRPr="00B81B29">
        <w:t>Fill in subcategories. Assessment looks at both meeting thresholds successfully and finding ways to improve. Even if you have met all thresholds at 100%, there is room to reflect and consider what can be improved or looked at more deeply. If programs are consistently meeting thresholds on PLOs, reviewing rigor and/or assessment rubrics may be a deeper step in assessment endeavors.</w:t>
      </w:r>
    </w:p>
    <w:p w14:paraId="5B085E69" w14:textId="69D1930C" w:rsidR="006643A3" w:rsidRPr="00B81B29" w:rsidRDefault="006643A3" w:rsidP="00B81B29"/>
    <w:p w14:paraId="265FF165" w14:textId="30285FF0" w:rsidR="006643A3" w:rsidRPr="00B81B29" w:rsidRDefault="183927CE" w:rsidP="005B7AAC">
      <w:pPr>
        <w:pStyle w:val="Heading3"/>
      </w:pPr>
      <w:r w:rsidRPr="00B81B29">
        <w:lastRenderedPageBreak/>
        <w:t xml:space="preserve">Section </w:t>
      </w:r>
      <w:r w:rsidR="005B7AAC">
        <w:t>6</w:t>
      </w:r>
      <w:r w:rsidRPr="00B81B29">
        <w:t xml:space="preserve">. How we Responded. </w:t>
      </w:r>
    </w:p>
    <w:p w14:paraId="0DF1E21B" w14:textId="067A6912" w:rsidR="006643A3" w:rsidRPr="00B81B29" w:rsidRDefault="183927CE" w:rsidP="00B81B29">
      <w:r w:rsidRPr="00B81B29">
        <w:t>Explain how what was learned was communicated with faculty and how results of assessment will be used for future curricular or assessment endeavors.</w:t>
      </w:r>
    </w:p>
    <w:p w14:paraId="32DF4BAF" w14:textId="4FF490F4" w:rsidR="006643A3" w:rsidRPr="00B81B29" w:rsidRDefault="006643A3" w:rsidP="00B81B29"/>
    <w:p w14:paraId="5AB479EF" w14:textId="696B1775" w:rsidR="006643A3" w:rsidRPr="00B81B29" w:rsidRDefault="183927CE" w:rsidP="005B7AAC">
      <w:pPr>
        <w:pStyle w:val="Heading3"/>
      </w:pPr>
      <w:r w:rsidRPr="00B81B29">
        <w:t xml:space="preserve">Section </w:t>
      </w:r>
      <w:r w:rsidR="005B7AAC">
        <w:t>7</w:t>
      </w:r>
      <w:r w:rsidRPr="00B81B29">
        <w:t xml:space="preserve">.  Closing the loop(s). </w:t>
      </w:r>
    </w:p>
    <w:p w14:paraId="3AAF1BC0" w14:textId="43497DE1" w:rsidR="006643A3" w:rsidRPr="00B81B29" w:rsidRDefault="183927CE" w:rsidP="00B81B29">
      <w:r w:rsidRPr="00B81B29">
        <w:t>This section is central to your report. It offers a chance to reflect on how current assessment results show progress since the last cycle and to outline how future changes and assessments will build on this foundation. Program assessment is closely linked to the department’s 7-year program review and serves as a valuable resource for budget planning, strategic development, and demonstrating contributions to institutional effectiveness. It also creates a historical record that departments can draw on in future planning.</w:t>
      </w:r>
    </w:p>
    <w:p w14:paraId="3247F7D8" w14:textId="16C65285" w:rsidR="006643A3" w:rsidRPr="00B81B29" w:rsidRDefault="006643A3" w:rsidP="00B81B29"/>
    <w:p w14:paraId="452FE13F" w14:textId="27725ABA" w:rsidR="006643A3" w:rsidRPr="00B81B29" w:rsidRDefault="006643A3" w:rsidP="00B81B29"/>
    <w:p w14:paraId="59261F14" w14:textId="38EF15F9" w:rsidR="003B2C0D" w:rsidRDefault="003B2C0D" w:rsidP="00150DD5">
      <w:pPr>
        <w:pStyle w:val="Heading2"/>
      </w:pPr>
      <w:r>
        <w:t>RESOURCES RELATED TO PROGRAM ASSESSMENT</w:t>
      </w:r>
    </w:p>
    <w:p w14:paraId="48D7475B" w14:textId="3CF33431" w:rsidR="006643A3" w:rsidRPr="00B81B29" w:rsidRDefault="183927CE" w:rsidP="00B81B29">
      <w:r w:rsidRPr="00B81B29">
        <w:t xml:space="preserve">For further support, see Provost’s Website for: </w:t>
      </w:r>
    </w:p>
    <w:p w14:paraId="68E2E7DC" w14:textId="19685DC9" w:rsidR="006643A3" w:rsidRPr="00B81B29" w:rsidRDefault="183927CE" w:rsidP="00C3482F">
      <w:pPr>
        <w:pStyle w:val="ListParagraph"/>
        <w:numPr>
          <w:ilvl w:val="0"/>
          <w:numId w:val="7"/>
        </w:numPr>
      </w:pPr>
      <w:hyperlink r:id="rId15">
        <w:r w:rsidRPr="00B81B29">
          <w:rPr>
            <w:rStyle w:val="Hyperlink"/>
          </w:rPr>
          <w:t>Program Assessment Steps</w:t>
        </w:r>
      </w:hyperlink>
    </w:p>
    <w:p w14:paraId="79B564DB" w14:textId="5B5ADCA4" w:rsidR="006643A3" w:rsidRPr="00B81B29" w:rsidRDefault="183927CE" w:rsidP="00C3482F">
      <w:pPr>
        <w:pStyle w:val="ListParagraph"/>
        <w:numPr>
          <w:ilvl w:val="0"/>
          <w:numId w:val="7"/>
        </w:numPr>
      </w:pPr>
      <w:hyperlink r:id="rId16">
        <w:r w:rsidRPr="00B81B29">
          <w:rPr>
            <w:rStyle w:val="Hyperlink"/>
          </w:rPr>
          <w:t>Define Desired Program Learning Outcomes</w:t>
        </w:r>
      </w:hyperlink>
    </w:p>
    <w:p w14:paraId="53F967BF" w14:textId="1CA284E9" w:rsidR="006643A3" w:rsidRPr="00B81B29" w:rsidRDefault="183927CE" w:rsidP="00C3482F">
      <w:pPr>
        <w:pStyle w:val="ListParagraph"/>
        <w:numPr>
          <w:ilvl w:val="0"/>
          <w:numId w:val="7"/>
        </w:numPr>
      </w:pPr>
      <w:hyperlink r:id="rId17">
        <w:r w:rsidRPr="00B81B29">
          <w:rPr>
            <w:rStyle w:val="Hyperlink"/>
          </w:rPr>
          <w:t>Sample Learning Outcomes &amp; Rubrics Examples</w:t>
        </w:r>
      </w:hyperlink>
    </w:p>
    <w:p w14:paraId="3A56E793" w14:textId="77777777" w:rsidR="005A1964" w:rsidRDefault="005A1964" w:rsidP="00B81B29"/>
    <w:p w14:paraId="2C0C8D32" w14:textId="2E9CD812" w:rsidR="006643A3" w:rsidRPr="00B81B29" w:rsidRDefault="183927CE" w:rsidP="00B81B29">
      <w:r w:rsidRPr="00B81B29">
        <w:t xml:space="preserve">Various Taxonomy of Learning examples can be </w:t>
      </w:r>
      <w:r w:rsidR="00231E81">
        <w:t>used to frame PLOs</w:t>
      </w:r>
    </w:p>
    <w:p w14:paraId="148D334E" w14:textId="43C74CED" w:rsidR="006643A3" w:rsidRPr="00B81B29" w:rsidRDefault="183927CE" w:rsidP="00C3482F">
      <w:pPr>
        <w:pStyle w:val="ListParagraph"/>
      </w:pPr>
      <w:hyperlink r:id="rId18">
        <w:r w:rsidRPr="00B81B29">
          <w:rPr>
            <w:rStyle w:val="Hyperlink"/>
          </w:rPr>
          <w:t>Bloom’s Action Verbs for Learning Outcomes</w:t>
        </w:r>
      </w:hyperlink>
    </w:p>
    <w:p w14:paraId="3262D744" w14:textId="7F3153A6" w:rsidR="006643A3" w:rsidRPr="00B81B29" w:rsidRDefault="183927CE" w:rsidP="00C3482F">
      <w:pPr>
        <w:pStyle w:val="ListParagraph"/>
      </w:pPr>
      <w:hyperlink r:id="rId19">
        <w:r w:rsidRPr="00B81B29">
          <w:rPr>
            <w:rStyle w:val="Hyperlink"/>
          </w:rPr>
          <w:t>Taxonomies of the Cognitive Domain</w:t>
        </w:r>
      </w:hyperlink>
    </w:p>
    <w:p w14:paraId="75C6E665" w14:textId="7063D2E9" w:rsidR="006643A3" w:rsidRPr="00B81B29" w:rsidRDefault="00C3482F" w:rsidP="00C3482F">
      <w:pPr>
        <w:pStyle w:val="ListParagraph"/>
      </w:pPr>
      <w:hyperlink r:id="rId20" w:history="1">
        <w:r w:rsidR="183927CE" w:rsidRPr="00C3482F">
          <w:rPr>
            <w:rStyle w:val="Hyperlink"/>
          </w:rPr>
          <w:t>Fink’s Taxonomy of Significant Learning (PDF)</w:t>
        </w:r>
      </w:hyperlink>
    </w:p>
    <w:p w14:paraId="6581F21B" w14:textId="76847F00" w:rsidR="006643A3" w:rsidRPr="00B81B29" w:rsidRDefault="00A97453" w:rsidP="00C3482F">
      <w:pPr>
        <w:pStyle w:val="ListParagraph"/>
      </w:pPr>
      <w:hyperlink r:id="rId21" w:history="1">
        <w:r w:rsidR="183927CE" w:rsidRPr="00A97453">
          <w:rPr>
            <w:rStyle w:val="Hyperlink"/>
          </w:rPr>
          <w:t>Marzano &amp; Kendall’s Taxonomy of Educational Objectives (PDF)</w:t>
        </w:r>
      </w:hyperlink>
    </w:p>
    <w:p w14:paraId="47B73CD7" w14:textId="668BC2B5" w:rsidR="006643A3" w:rsidRPr="00B81B29" w:rsidRDefault="006643A3" w:rsidP="00B81B29"/>
    <w:p w14:paraId="1A5624A3" w14:textId="783DE2F1" w:rsidR="006643A3" w:rsidRPr="00B81B29" w:rsidRDefault="183927CE" w:rsidP="00B81B29">
      <w:r w:rsidRPr="00B81B29">
        <w:t xml:space="preserve">Same template is used for both the (Annual/UG) 2024-2025 and (Biennial/GR) 2023-2024 &amp; 2024-2025 reports. </w:t>
      </w:r>
    </w:p>
    <w:p w14:paraId="4F11F0DC" w14:textId="5696C990" w:rsidR="006643A3" w:rsidRPr="00B81B29" w:rsidRDefault="006643A3" w:rsidP="00B81B29"/>
    <w:p w14:paraId="2C078E63" w14:textId="5429FDE9" w:rsidR="006643A3" w:rsidRPr="00B81B29" w:rsidRDefault="006643A3" w:rsidP="00B81B29"/>
    <w:sectPr w:rsidR="006643A3" w:rsidRPr="00B81B29">
      <w:footerReference w:type="even"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988A9" w14:textId="77777777" w:rsidR="00370F7B" w:rsidRDefault="00370F7B" w:rsidP="00A521C0">
      <w:r>
        <w:separator/>
      </w:r>
    </w:p>
  </w:endnote>
  <w:endnote w:type="continuationSeparator" w:id="0">
    <w:p w14:paraId="7108A093" w14:textId="77777777" w:rsidR="00370F7B" w:rsidRDefault="00370F7B" w:rsidP="00A52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510655"/>
      <w:docPartObj>
        <w:docPartGallery w:val="Page Numbers (Bottom of Page)"/>
        <w:docPartUnique/>
      </w:docPartObj>
    </w:sdtPr>
    <w:sdtContent>
      <w:p w14:paraId="3F116CF3" w14:textId="42985206" w:rsidR="00A521C0" w:rsidRDefault="00A521C0" w:rsidP="000521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D2038E8" w14:textId="77777777" w:rsidR="00A521C0" w:rsidRDefault="00A521C0" w:rsidP="00A521C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6303670"/>
      <w:docPartObj>
        <w:docPartGallery w:val="Page Numbers (Bottom of Page)"/>
        <w:docPartUnique/>
      </w:docPartObj>
    </w:sdtPr>
    <w:sdtContent>
      <w:p w14:paraId="2F364106" w14:textId="3699EC0D" w:rsidR="00A521C0" w:rsidRDefault="00A521C0" w:rsidP="000521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11907C" w14:textId="77777777" w:rsidR="00A521C0" w:rsidRDefault="00A521C0" w:rsidP="00A521C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37EF" w14:textId="77777777" w:rsidR="00370F7B" w:rsidRDefault="00370F7B" w:rsidP="00A521C0">
      <w:r>
        <w:separator/>
      </w:r>
    </w:p>
  </w:footnote>
  <w:footnote w:type="continuationSeparator" w:id="0">
    <w:p w14:paraId="3ADF64C8" w14:textId="77777777" w:rsidR="00370F7B" w:rsidRDefault="00370F7B" w:rsidP="00A52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505E"/>
    <w:multiLevelType w:val="hybridMultilevel"/>
    <w:tmpl w:val="D22ED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0FDBCF"/>
    <w:multiLevelType w:val="hybridMultilevel"/>
    <w:tmpl w:val="AE4AFBF8"/>
    <w:lvl w:ilvl="0" w:tplc="E0D4E25C">
      <w:start w:val="1"/>
      <w:numFmt w:val="lowerLetter"/>
      <w:lvlText w:val="%1)"/>
      <w:lvlJc w:val="left"/>
      <w:pPr>
        <w:ind w:left="1080" w:hanging="360"/>
      </w:pPr>
    </w:lvl>
    <w:lvl w:ilvl="1" w:tplc="67CEB196">
      <w:start w:val="1"/>
      <w:numFmt w:val="lowerLetter"/>
      <w:lvlText w:val="%2."/>
      <w:lvlJc w:val="left"/>
      <w:pPr>
        <w:ind w:left="1440" w:hanging="360"/>
      </w:pPr>
    </w:lvl>
    <w:lvl w:ilvl="2" w:tplc="4C164FB8">
      <w:start w:val="1"/>
      <w:numFmt w:val="lowerRoman"/>
      <w:lvlText w:val="%3."/>
      <w:lvlJc w:val="right"/>
      <w:pPr>
        <w:ind w:left="2160" w:hanging="180"/>
      </w:pPr>
    </w:lvl>
    <w:lvl w:ilvl="3" w:tplc="A5DED6F4">
      <w:start w:val="1"/>
      <w:numFmt w:val="decimal"/>
      <w:lvlText w:val="%4."/>
      <w:lvlJc w:val="left"/>
      <w:pPr>
        <w:ind w:left="2880" w:hanging="360"/>
      </w:pPr>
    </w:lvl>
    <w:lvl w:ilvl="4" w:tplc="EF04F80A">
      <w:start w:val="1"/>
      <w:numFmt w:val="lowerLetter"/>
      <w:lvlText w:val="%5."/>
      <w:lvlJc w:val="left"/>
      <w:pPr>
        <w:ind w:left="3600" w:hanging="360"/>
      </w:pPr>
    </w:lvl>
    <w:lvl w:ilvl="5" w:tplc="48846062">
      <w:start w:val="1"/>
      <w:numFmt w:val="lowerRoman"/>
      <w:lvlText w:val="%6."/>
      <w:lvlJc w:val="right"/>
      <w:pPr>
        <w:ind w:left="4320" w:hanging="180"/>
      </w:pPr>
    </w:lvl>
    <w:lvl w:ilvl="6" w:tplc="03BCAE0C">
      <w:start w:val="1"/>
      <w:numFmt w:val="decimal"/>
      <w:lvlText w:val="%7."/>
      <w:lvlJc w:val="left"/>
      <w:pPr>
        <w:ind w:left="5040" w:hanging="360"/>
      </w:pPr>
    </w:lvl>
    <w:lvl w:ilvl="7" w:tplc="A3E88E76">
      <w:start w:val="1"/>
      <w:numFmt w:val="lowerLetter"/>
      <w:lvlText w:val="%8."/>
      <w:lvlJc w:val="left"/>
      <w:pPr>
        <w:ind w:left="5760" w:hanging="360"/>
      </w:pPr>
    </w:lvl>
    <w:lvl w:ilvl="8" w:tplc="D0E8DAA8">
      <w:start w:val="1"/>
      <w:numFmt w:val="lowerRoman"/>
      <w:lvlText w:val="%9."/>
      <w:lvlJc w:val="right"/>
      <w:pPr>
        <w:ind w:left="6480" w:hanging="180"/>
      </w:pPr>
    </w:lvl>
  </w:abstractNum>
  <w:abstractNum w:abstractNumId="2" w15:restartNumberingAfterBreak="0">
    <w:nsid w:val="09E39B99"/>
    <w:multiLevelType w:val="hybridMultilevel"/>
    <w:tmpl w:val="9A0EBBB0"/>
    <w:lvl w:ilvl="0" w:tplc="07B86C3A">
      <w:start w:val="1"/>
      <w:numFmt w:val="lowerLetter"/>
      <w:lvlText w:val="%1)"/>
      <w:lvlJc w:val="left"/>
      <w:pPr>
        <w:ind w:left="720" w:hanging="360"/>
      </w:pPr>
    </w:lvl>
    <w:lvl w:ilvl="1" w:tplc="809A1FCA">
      <w:start w:val="1"/>
      <w:numFmt w:val="lowerLetter"/>
      <w:lvlText w:val="%2."/>
      <w:lvlJc w:val="left"/>
      <w:pPr>
        <w:ind w:left="1440" w:hanging="360"/>
      </w:pPr>
    </w:lvl>
    <w:lvl w:ilvl="2" w:tplc="C888A62A">
      <w:start w:val="1"/>
      <w:numFmt w:val="lowerRoman"/>
      <w:lvlText w:val="%3."/>
      <w:lvlJc w:val="right"/>
      <w:pPr>
        <w:ind w:left="2160" w:hanging="180"/>
      </w:pPr>
    </w:lvl>
    <w:lvl w:ilvl="3" w:tplc="1FCC42D2">
      <w:start w:val="1"/>
      <w:numFmt w:val="decimal"/>
      <w:lvlText w:val="%4."/>
      <w:lvlJc w:val="left"/>
      <w:pPr>
        <w:ind w:left="2880" w:hanging="360"/>
      </w:pPr>
    </w:lvl>
    <w:lvl w:ilvl="4" w:tplc="D96A43F0">
      <w:start w:val="1"/>
      <w:numFmt w:val="lowerLetter"/>
      <w:lvlText w:val="%5."/>
      <w:lvlJc w:val="left"/>
      <w:pPr>
        <w:ind w:left="3600" w:hanging="360"/>
      </w:pPr>
    </w:lvl>
    <w:lvl w:ilvl="5" w:tplc="CB4260BC">
      <w:start w:val="1"/>
      <w:numFmt w:val="lowerRoman"/>
      <w:lvlText w:val="%6."/>
      <w:lvlJc w:val="right"/>
      <w:pPr>
        <w:ind w:left="4320" w:hanging="180"/>
      </w:pPr>
    </w:lvl>
    <w:lvl w:ilvl="6" w:tplc="984C017E">
      <w:start w:val="1"/>
      <w:numFmt w:val="decimal"/>
      <w:lvlText w:val="%7."/>
      <w:lvlJc w:val="left"/>
      <w:pPr>
        <w:ind w:left="5040" w:hanging="360"/>
      </w:pPr>
    </w:lvl>
    <w:lvl w:ilvl="7" w:tplc="98E2BE8A">
      <w:start w:val="1"/>
      <w:numFmt w:val="lowerLetter"/>
      <w:lvlText w:val="%8."/>
      <w:lvlJc w:val="left"/>
      <w:pPr>
        <w:ind w:left="5760" w:hanging="360"/>
      </w:pPr>
    </w:lvl>
    <w:lvl w:ilvl="8" w:tplc="31749DF0">
      <w:start w:val="1"/>
      <w:numFmt w:val="lowerRoman"/>
      <w:lvlText w:val="%9."/>
      <w:lvlJc w:val="right"/>
      <w:pPr>
        <w:ind w:left="6480" w:hanging="180"/>
      </w:pPr>
    </w:lvl>
  </w:abstractNum>
  <w:abstractNum w:abstractNumId="3" w15:restartNumberingAfterBreak="0">
    <w:nsid w:val="0DAC2027"/>
    <w:multiLevelType w:val="hybridMultilevel"/>
    <w:tmpl w:val="9502FD96"/>
    <w:lvl w:ilvl="0" w:tplc="9B5EDAD4">
      <w:start w:val="1"/>
      <w:numFmt w:val="bullet"/>
      <w:lvlText w:val=""/>
      <w:lvlJc w:val="left"/>
      <w:pPr>
        <w:ind w:left="720" w:hanging="360"/>
      </w:pPr>
      <w:rPr>
        <w:rFonts w:ascii="Symbol" w:hAnsi="Symbol" w:hint="default"/>
      </w:rPr>
    </w:lvl>
    <w:lvl w:ilvl="1" w:tplc="2034C750">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E45210"/>
    <w:multiLevelType w:val="hybridMultilevel"/>
    <w:tmpl w:val="D22ED608"/>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E5A1DCC"/>
    <w:multiLevelType w:val="hybridMultilevel"/>
    <w:tmpl w:val="8814FF1A"/>
    <w:lvl w:ilvl="0" w:tplc="2CD66E74">
      <w:start w:val="4"/>
      <w:numFmt w:val="lowerLetter"/>
      <w:lvlText w:val="%1)"/>
      <w:lvlJc w:val="left"/>
      <w:pPr>
        <w:ind w:left="720" w:hanging="360"/>
      </w:pPr>
    </w:lvl>
    <w:lvl w:ilvl="1" w:tplc="B6CC4F78">
      <w:start w:val="1"/>
      <w:numFmt w:val="lowerLetter"/>
      <w:lvlText w:val="%2."/>
      <w:lvlJc w:val="left"/>
      <w:pPr>
        <w:ind w:left="1440" w:hanging="360"/>
      </w:pPr>
    </w:lvl>
    <w:lvl w:ilvl="2" w:tplc="09649A22">
      <w:start w:val="1"/>
      <w:numFmt w:val="lowerRoman"/>
      <w:lvlText w:val="%3."/>
      <w:lvlJc w:val="right"/>
      <w:pPr>
        <w:ind w:left="2160" w:hanging="180"/>
      </w:pPr>
    </w:lvl>
    <w:lvl w:ilvl="3" w:tplc="B03C6EDA">
      <w:start w:val="1"/>
      <w:numFmt w:val="decimal"/>
      <w:lvlText w:val="%4."/>
      <w:lvlJc w:val="left"/>
      <w:pPr>
        <w:ind w:left="2880" w:hanging="360"/>
      </w:pPr>
    </w:lvl>
    <w:lvl w:ilvl="4" w:tplc="11A8BE3A">
      <w:start w:val="1"/>
      <w:numFmt w:val="lowerLetter"/>
      <w:lvlText w:val="%5."/>
      <w:lvlJc w:val="left"/>
      <w:pPr>
        <w:ind w:left="3600" w:hanging="360"/>
      </w:pPr>
    </w:lvl>
    <w:lvl w:ilvl="5" w:tplc="6176650E">
      <w:start w:val="1"/>
      <w:numFmt w:val="lowerRoman"/>
      <w:lvlText w:val="%6."/>
      <w:lvlJc w:val="right"/>
      <w:pPr>
        <w:ind w:left="4320" w:hanging="180"/>
      </w:pPr>
    </w:lvl>
    <w:lvl w:ilvl="6" w:tplc="297E27FA">
      <w:start w:val="1"/>
      <w:numFmt w:val="decimal"/>
      <w:lvlText w:val="%7."/>
      <w:lvlJc w:val="left"/>
      <w:pPr>
        <w:ind w:left="5040" w:hanging="360"/>
      </w:pPr>
    </w:lvl>
    <w:lvl w:ilvl="7" w:tplc="1F58CAD2">
      <w:start w:val="1"/>
      <w:numFmt w:val="lowerLetter"/>
      <w:lvlText w:val="%8."/>
      <w:lvlJc w:val="left"/>
      <w:pPr>
        <w:ind w:left="5760" w:hanging="360"/>
      </w:pPr>
    </w:lvl>
    <w:lvl w:ilvl="8" w:tplc="6ADE386A">
      <w:start w:val="1"/>
      <w:numFmt w:val="lowerRoman"/>
      <w:lvlText w:val="%9."/>
      <w:lvlJc w:val="right"/>
      <w:pPr>
        <w:ind w:left="6480" w:hanging="180"/>
      </w:pPr>
    </w:lvl>
  </w:abstractNum>
  <w:abstractNum w:abstractNumId="6" w15:restartNumberingAfterBreak="0">
    <w:nsid w:val="2BB15E23"/>
    <w:multiLevelType w:val="hybridMultilevel"/>
    <w:tmpl w:val="60BA1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C11F9"/>
    <w:multiLevelType w:val="hybridMultilevel"/>
    <w:tmpl w:val="0A14F9A6"/>
    <w:lvl w:ilvl="0" w:tplc="15A81DD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D0592"/>
    <w:multiLevelType w:val="hybridMultilevel"/>
    <w:tmpl w:val="B10CBE96"/>
    <w:lvl w:ilvl="0" w:tplc="4C802FCA">
      <w:start w:val="2"/>
      <w:numFmt w:val="bullet"/>
      <w:lvlText w:val=""/>
      <w:lvlJc w:val="left"/>
      <w:pPr>
        <w:ind w:left="720" w:hanging="360"/>
      </w:pPr>
      <w:rPr>
        <w:rFonts w:ascii="Wingdings" w:eastAsiaTheme="minorEastAsia" w:hAnsi="Wingding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0431CE"/>
    <w:multiLevelType w:val="hybridMultilevel"/>
    <w:tmpl w:val="AA4EE3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BB1051"/>
    <w:multiLevelType w:val="hybridMultilevel"/>
    <w:tmpl w:val="3A403232"/>
    <w:lvl w:ilvl="0" w:tplc="0ABE5D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975F1B"/>
    <w:multiLevelType w:val="hybridMultilevel"/>
    <w:tmpl w:val="59941320"/>
    <w:lvl w:ilvl="0" w:tplc="0D98DB7E">
      <w:start w:val="1"/>
      <w:numFmt w:val="bullet"/>
      <w:lvlText w:val=""/>
      <w:lvlJc w:val="left"/>
      <w:pPr>
        <w:ind w:left="720" w:hanging="360"/>
      </w:pPr>
      <w:rPr>
        <w:rFonts w:ascii="Symbol" w:hAnsi="Symbol" w:hint="default"/>
      </w:rPr>
    </w:lvl>
    <w:lvl w:ilvl="1" w:tplc="F7C853C8">
      <w:start w:val="1"/>
      <w:numFmt w:val="bullet"/>
      <w:lvlText w:val="o"/>
      <w:lvlJc w:val="left"/>
      <w:pPr>
        <w:ind w:left="1440" w:hanging="360"/>
      </w:pPr>
      <w:rPr>
        <w:rFonts w:ascii="Courier New" w:hAnsi="Courier New" w:hint="default"/>
      </w:rPr>
    </w:lvl>
    <w:lvl w:ilvl="2" w:tplc="94B450AC">
      <w:start w:val="1"/>
      <w:numFmt w:val="bullet"/>
      <w:lvlText w:val=""/>
      <w:lvlJc w:val="left"/>
      <w:pPr>
        <w:ind w:left="2160" w:hanging="360"/>
      </w:pPr>
      <w:rPr>
        <w:rFonts w:ascii="Wingdings" w:hAnsi="Wingdings" w:hint="default"/>
      </w:rPr>
    </w:lvl>
    <w:lvl w:ilvl="3" w:tplc="6686BA16">
      <w:start w:val="1"/>
      <w:numFmt w:val="bullet"/>
      <w:lvlText w:val=""/>
      <w:lvlJc w:val="left"/>
      <w:pPr>
        <w:ind w:left="2880" w:hanging="360"/>
      </w:pPr>
      <w:rPr>
        <w:rFonts w:ascii="Symbol" w:hAnsi="Symbol" w:hint="default"/>
      </w:rPr>
    </w:lvl>
    <w:lvl w:ilvl="4" w:tplc="88605564">
      <w:start w:val="1"/>
      <w:numFmt w:val="bullet"/>
      <w:lvlText w:val="o"/>
      <w:lvlJc w:val="left"/>
      <w:pPr>
        <w:ind w:left="3600" w:hanging="360"/>
      </w:pPr>
      <w:rPr>
        <w:rFonts w:ascii="Courier New" w:hAnsi="Courier New" w:hint="default"/>
      </w:rPr>
    </w:lvl>
    <w:lvl w:ilvl="5" w:tplc="39C223A6">
      <w:start w:val="1"/>
      <w:numFmt w:val="bullet"/>
      <w:lvlText w:val=""/>
      <w:lvlJc w:val="left"/>
      <w:pPr>
        <w:ind w:left="4320" w:hanging="360"/>
      </w:pPr>
      <w:rPr>
        <w:rFonts w:ascii="Wingdings" w:hAnsi="Wingdings" w:hint="default"/>
      </w:rPr>
    </w:lvl>
    <w:lvl w:ilvl="6" w:tplc="E260122C">
      <w:start w:val="1"/>
      <w:numFmt w:val="bullet"/>
      <w:lvlText w:val=""/>
      <w:lvlJc w:val="left"/>
      <w:pPr>
        <w:ind w:left="5040" w:hanging="360"/>
      </w:pPr>
      <w:rPr>
        <w:rFonts w:ascii="Symbol" w:hAnsi="Symbol" w:hint="default"/>
      </w:rPr>
    </w:lvl>
    <w:lvl w:ilvl="7" w:tplc="9D1E2BDA">
      <w:start w:val="1"/>
      <w:numFmt w:val="bullet"/>
      <w:lvlText w:val="o"/>
      <w:lvlJc w:val="left"/>
      <w:pPr>
        <w:ind w:left="5760" w:hanging="360"/>
      </w:pPr>
      <w:rPr>
        <w:rFonts w:ascii="Courier New" w:hAnsi="Courier New" w:hint="default"/>
      </w:rPr>
    </w:lvl>
    <w:lvl w:ilvl="8" w:tplc="CCC89B16">
      <w:start w:val="1"/>
      <w:numFmt w:val="bullet"/>
      <w:lvlText w:val=""/>
      <w:lvlJc w:val="left"/>
      <w:pPr>
        <w:ind w:left="6480" w:hanging="360"/>
      </w:pPr>
      <w:rPr>
        <w:rFonts w:ascii="Wingdings" w:hAnsi="Wingdings" w:hint="default"/>
      </w:rPr>
    </w:lvl>
  </w:abstractNum>
  <w:abstractNum w:abstractNumId="12" w15:restartNumberingAfterBreak="0">
    <w:nsid w:val="5DA6F4DB"/>
    <w:multiLevelType w:val="hybridMultilevel"/>
    <w:tmpl w:val="A9AE00F8"/>
    <w:lvl w:ilvl="0" w:tplc="62303DF4">
      <w:start w:val="1"/>
      <w:numFmt w:val="decimal"/>
      <w:lvlText w:val="%1."/>
      <w:lvlJc w:val="left"/>
      <w:pPr>
        <w:ind w:left="720" w:hanging="360"/>
      </w:pPr>
    </w:lvl>
    <w:lvl w:ilvl="1" w:tplc="3C74A266">
      <w:start w:val="1"/>
      <w:numFmt w:val="lowerLetter"/>
      <w:lvlText w:val="%2)"/>
      <w:lvlJc w:val="left"/>
      <w:pPr>
        <w:ind w:left="720" w:hanging="360"/>
      </w:pPr>
    </w:lvl>
    <w:lvl w:ilvl="2" w:tplc="D43482B2">
      <w:start w:val="1"/>
      <w:numFmt w:val="lowerRoman"/>
      <w:lvlText w:val="%3)"/>
      <w:lvlJc w:val="left"/>
      <w:pPr>
        <w:ind w:left="1080" w:hanging="360"/>
      </w:pPr>
    </w:lvl>
    <w:lvl w:ilvl="3" w:tplc="46B0497A">
      <w:start w:val="1"/>
      <w:numFmt w:val="decimal"/>
      <w:lvlText w:val="(%4)"/>
      <w:lvlJc w:val="left"/>
      <w:pPr>
        <w:ind w:left="1440" w:hanging="360"/>
      </w:pPr>
    </w:lvl>
    <w:lvl w:ilvl="4" w:tplc="28A0D556">
      <w:start w:val="1"/>
      <w:numFmt w:val="lowerLetter"/>
      <w:lvlText w:val="%5."/>
      <w:lvlJc w:val="left"/>
      <w:pPr>
        <w:ind w:left="3600" w:hanging="360"/>
      </w:pPr>
    </w:lvl>
    <w:lvl w:ilvl="5" w:tplc="F8661B00">
      <w:start w:val="1"/>
      <w:numFmt w:val="lowerRoman"/>
      <w:lvlText w:val="%6."/>
      <w:lvlJc w:val="right"/>
      <w:pPr>
        <w:ind w:left="4320" w:hanging="180"/>
      </w:pPr>
    </w:lvl>
    <w:lvl w:ilvl="6" w:tplc="1EFE702A">
      <w:start w:val="1"/>
      <w:numFmt w:val="decimal"/>
      <w:lvlText w:val="%7."/>
      <w:lvlJc w:val="left"/>
      <w:pPr>
        <w:ind w:left="5040" w:hanging="360"/>
      </w:pPr>
    </w:lvl>
    <w:lvl w:ilvl="7" w:tplc="9BF2F93E">
      <w:start w:val="1"/>
      <w:numFmt w:val="lowerLetter"/>
      <w:lvlText w:val="%8."/>
      <w:lvlJc w:val="left"/>
      <w:pPr>
        <w:ind w:left="5760" w:hanging="360"/>
      </w:pPr>
    </w:lvl>
    <w:lvl w:ilvl="8" w:tplc="7DB4C71A">
      <w:start w:val="1"/>
      <w:numFmt w:val="lowerRoman"/>
      <w:lvlText w:val="%9."/>
      <w:lvlJc w:val="right"/>
      <w:pPr>
        <w:ind w:left="6480" w:hanging="180"/>
      </w:pPr>
    </w:lvl>
  </w:abstractNum>
  <w:abstractNum w:abstractNumId="13" w15:restartNumberingAfterBreak="0">
    <w:nsid w:val="5EBA5CFE"/>
    <w:multiLevelType w:val="hybridMultilevel"/>
    <w:tmpl w:val="B8E26692"/>
    <w:lvl w:ilvl="0" w:tplc="91AE351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3689F3"/>
    <w:multiLevelType w:val="hybridMultilevel"/>
    <w:tmpl w:val="1F9E3B04"/>
    <w:lvl w:ilvl="0" w:tplc="8960BB42">
      <w:start w:val="1"/>
      <w:numFmt w:val="bullet"/>
      <w:lvlText w:val=""/>
      <w:lvlJc w:val="left"/>
      <w:pPr>
        <w:ind w:left="720" w:hanging="360"/>
      </w:pPr>
      <w:rPr>
        <w:rFonts w:ascii="Symbol" w:hAnsi="Symbol" w:hint="default"/>
      </w:rPr>
    </w:lvl>
    <w:lvl w:ilvl="1" w:tplc="5844A77A">
      <w:start w:val="1"/>
      <w:numFmt w:val="bullet"/>
      <w:lvlText w:val="o"/>
      <w:lvlJc w:val="left"/>
      <w:pPr>
        <w:ind w:left="1440" w:hanging="360"/>
      </w:pPr>
      <w:rPr>
        <w:rFonts w:ascii="Symbol" w:hAnsi="Symbol" w:hint="default"/>
      </w:rPr>
    </w:lvl>
    <w:lvl w:ilvl="2" w:tplc="95EE5EA6">
      <w:start w:val="1"/>
      <w:numFmt w:val="bullet"/>
      <w:lvlText w:val=""/>
      <w:lvlJc w:val="left"/>
      <w:pPr>
        <w:ind w:left="2160" w:hanging="360"/>
      </w:pPr>
      <w:rPr>
        <w:rFonts w:ascii="Wingdings" w:hAnsi="Wingdings" w:hint="default"/>
      </w:rPr>
    </w:lvl>
    <w:lvl w:ilvl="3" w:tplc="8C90D28E">
      <w:start w:val="1"/>
      <w:numFmt w:val="bullet"/>
      <w:lvlText w:val=""/>
      <w:lvlJc w:val="left"/>
      <w:pPr>
        <w:ind w:left="2880" w:hanging="360"/>
      </w:pPr>
      <w:rPr>
        <w:rFonts w:ascii="Symbol" w:hAnsi="Symbol" w:hint="default"/>
      </w:rPr>
    </w:lvl>
    <w:lvl w:ilvl="4" w:tplc="3D486A00">
      <w:start w:val="1"/>
      <w:numFmt w:val="bullet"/>
      <w:lvlText w:val="o"/>
      <w:lvlJc w:val="left"/>
      <w:pPr>
        <w:ind w:left="3600" w:hanging="360"/>
      </w:pPr>
      <w:rPr>
        <w:rFonts w:ascii="Courier New" w:hAnsi="Courier New" w:hint="default"/>
      </w:rPr>
    </w:lvl>
    <w:lvl w:ilvl="5" w:tplc="F94C7434">
      <w:start w:val="1"/>
      <w:numFmt w:val="bullet"/>
      <w:lvlText w:val=""/>
      <w:lvlJc w:val="left"/>
      <w:pPr>
        <w:ind w:left="4320" w:hanging="360"/>
      </w:pPr>
      <w:rPr>
        <w:rFonts w:ascii="Wingdings" w:hAnsi="Wingdings" w:hint="default"/>
      </w:rPr>
    </w:lvl>
    <w:lvl w:ilvl="6" w:tplc="73889388">
      <w:start w:val="1"/>
      <w:numFmt w:val="bullet"/>
      <w:lvlText w:val=""/>
      <w:lvlJc w:val="left"/>
      <w:pPr>
        <w:ind w:left="5040" w:hanging="360"/>
      </w:pPr>
      <w:rPr>
        <w:rFonts w:ascii="Symbol" w:hAnsi="Symbol" w:hint="default"/>
      </w:rPr>
    </w:lvl>
    <w:lvl w:ilvl="7" w:tplc="37366606">
      <w:start w:val="1"/>
      <w:numFmt w:val="bullet"/>
      <w:lvlText w:val="o"/>
      <w:lvlJc w:val="left"/>
      <w:pPr>
        <w:ind w:left="5760" w:hanging="360"/>
      </w:pPr>
      <w:rPr>
        <w:rFonts w:ascii="Courier New" w:hAnsi="Courier New" w:hint="default"/>
      </w:rPr>
    </w:lvl>
    <w:lvl w:ilvl="8" w:tplc="84C4FBE6">
      <w:start w:val="1"/>
      <w:numFmt w:val="bullet"/>
      <w:lvlText w:val=""/>
      <w:lvlJc w:val="left"/>
      <w:pPr>
        <w:ind w:left="6480" w:hanging="360"/>
      </w:pPr>
      <w:rPr>
        <w:rFonts w:ascii="Wingdings" w:hAnsi="Wingdings" w:hint="default"/>
      </w:rPr>
    </w:lvl>
  </w:abstractNum>
  <w:abstractNum w:abstractNumId="15" w15:restartNumberingAfterBreak="0">
    <w:nsid w:val="711E6CED"/>
    <w:multiLevelType w:val="hybridMultilevel"/>
    <w:tmpl w:val="BC708CCC"/>
    <w:lvl w:ilvl="0" w:tplc="54D836FC">
      <w:start w:val="1"/>
      <w:numFmt w:val="lowerLetter"/>
      <w:lvlText w:val="%1)"/>
      <w:lvlJc w:val="left"/>
      <w:pPr>
        <w:ind w:left="720" w:hanging="360"/>
      </w:pPr>
      <w:rPr>
        <w:rFonts w:eastAsiaTheme="majorEastAsia" w:cstheme="majorBidi"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F71C6D"/>
    <w:multiLevelType w:val="hybridMultilevel"/>
    <w:tmpl w:val="1B62C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D10D7"/>
    <w:multiLevelType w:val="hybridMultilevel"/>
    <w:tmpl w:val="830E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59030">
    <w:abstractNumId w:val="11"/>
  </w:num>
  <w:num w:numId="2" w16cid:durableId="64500699">
    <w:abstractNumId w:val="5"/>
  </w:num>
  <w:num w:numId="3" w16cid:durableId="710424770">
    <w:abstractNumId w:val="14"/>
  </w:num>
  <w:num w:numId="4" w16cid:durableId="2090811639">
    <w:abstractNumId w:val="2"/>
  </w:num>
  <w:num w:numId="5" w16cid:durableId="1548222671">
    <w:abstractNumId w:val="12"/>
  </w:num>
  <w:num w:numId="6" w16cid:durableId="436482037">
    <w:abstractNumId w:val="1"/>
  </w:num>
  <w:num w:numId="7" w16cid:durableId="539165942">
    <w:abstractNumId w:val="17"/>
  </w:num>
  <w:num w:numId="8" w16cid:durableId="823544925">
    <w:abstractNumId w:val="10"/>
  </w:num>
  <w:num w:numId="9" w16cid:durableId="569658219">
    <w:abstractNumId w:val="0"/>
  </w:num>
  <w:num w:numId="10" w16cid:durableId="2042704413">
    <w:abstractNumId w:val="4"/>
  </w:num>
  <w:num w:numId="11" w16cid:durableId="2000108458">
    <w:abstractNumId w:val="8"/>
  </w:num>
  <w:num w:numId="12" w16cid:durableId="353966071">
    <w:abstractNumId w:val="3"/>
  </w:num>
  <w:num w:numId="13" w16cid:durableId="2012681869">
    <w:abstractNumId w:val="9"/>
  </w:num>
  <w:num w:numId="14" w16cid:durableId="884292846">
    <w:abstractNumId w:val="6"/>
  </w:num>
  <w:num w:numId="15" w16cid:durableId="1125348620">
    <w:abstractNumId w:val="16"/>
  </w:num>
  <w:num w:numId="16" w16cid:durableId="1238174938">
    <w:abstractNumId w:val="13"/>
  </w:num>
  <w:num w:numId="17" w16cid:durableId="256443289">
    <w:abstractNumId w:val="15"/>
  </w:num>
  <w:num w:numId="18" w16cid:durableId="2135831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2780F3"/>
    <w:rsid w:val="00021FD0"/>
    <w:rsid w:val="00024E8F"/>
    <w:rsid w:val="00043E39"/>
    <w:rsid w:val="00056959"/>
    <w:rsid w:val="0008138A"/>
    <w:rsid w:val="000C352A"/>
    <w:rsid w:val="000E1DE9"/>
    <w:rsid w:val="000E6108"/>
    <w:rsid w:val="001358AF"/>
    <w:rsid w:val="00137E5B"/>
    <w:rsid w:val="00150DD5"/>
    <w:rsid w:val="00157FF2"/>
    <w:rsid w:val="00181AB0"/>
    <w:rsid w:val="00185A10"/>
    <w:rsid w:val="00186077"/>
    <w:rsid w:val="001866B7"/>
    <w:rsid w:val="001A1DC3"/>
    <w:rsid w:val="001B53FA"/>
    <w:rsid w:val="001D13EF"/>
    <w:rsid w:val="001D55C2"/>
    <w:rsid w:val="001D7375"/>
    <w:rsid w:val="001E3C74"/>
    <w:rsid w:val="001F6639"/>
    <w:rsid w:val="00211A70"/>
    <w:rsid w:val="00212B20"/>
    <w:rsid w:val="00231E81"/>
    <w:rsid w:val="00237E04"/>
    <w:rsid w:val="0024207D"/>
    <w:rsid w:val="00246738"/>
    <w:rsid w:val="002504AC"/>
    <w:rsid w:val="002A3142"/>
    <w:rsid w:val="002B2266"/>
    <w:rsid w:val="002D369F"/>
    <w:rsid w:val="00302010"/>
    <w:rsid w:val="003043DD"/>
    <w:rsid w:val="00316083"/>
    <w:rsid w:val="00320802"/>
    <w:rsid w:val="003426C6"/>
    <w:rsid w:val="00370F7B"/>
    <w:rsid w:val="00395DC9"/>
    <w:rsid w:val="003B2C0D"/>
    <w:rsid w:val="003B2F29"/>
    <w:rsid w:val="003D0374"/>
    <w:rsid w:val="003D4230"/>
    <w:rsid w:val="003D756F"/>
    <w:rsid w:val="00401C05"/>
    <w:rsid w:val="00423670"/>
    <w:rsid w:val="00425482"/>
    <w:rsid w:val="004463A1"/>
    <w:rsid w:val="004504A3"/>
    <w:rsid w:val="00466E1D"/>
    <w:rsid w:val="0047205E"/>
    <w:rsid w:val="004764A4"/>
    <w:rsid w:val="0049599A"/>
    <w:rsid w:val="004F27E2"/>
    <w:rsid w:val="005067F4"/>
    <w:rsid w:val="00521F18"/>
    <w:rsid w:val="005476CA"/>
    <w:rsid w:val="00573B6E"/>
    <w:rsid w:val="00577336"/>
    <w:rsid w:val="005A1964"/>
    <w:rsid w:val="005B10E5"/>
    <w:rsid w:val="005B75FE"/>
    <w:rsid w:val="005B7AAC"/>
    <w:rsid w:val="005C16E1"/>
    <w:rsid w:val="005C295D"/>
    <w:rsid w:val="00613393"/>
    <w:rsid w:val="006216B4"/>
    <w:rsid w:val="00646918"/>
    <w:rsid w:val="00650324"/>
    <w:rsid w:val="006643A3"/>
    <w:rsid w:val="0067300F"/>
    <w:rsid w:val="006D6D90"/>
    <w:rsid w:val="006E195F"/>
    <w:rsid w:val="00704F3C"/>
    <w:rsid w:val="00734665"/>
    <w:rsid w:val="007508C1"/>
    <w:rsid w:val="007622F3"/>
    <w:rsid w:val="00781A8F"/>
    <w:rsid w:val="00786BD8"/>
    <w:rsid w:val="007A2886"/>
    <w:rsid w:val="007B0E5D"/>
    <w:rsid w:val="007C5D22"/>
    <w:rsid w:val="007F772C"/>
    <w:rsid w:val="00822F93"/>
    <w:rsid w:val="008B3F49"/>
    <w:rsid w:val="008E08EB"/>
    <w:rsid w:val="00926E4C"/>
    <w:rsid w:val="009333E3"/>
    <w:rsid w:val="009456A8"/>
    <w:rsid w:val="00955D67"/>
    <w:rsid w:val="009616D2"/>
    <w:rsid w:val="00963E0C"/>
    <w:rsid w:val="00997F82"/>
    <w:rsid w:val="009D29ED"/>
    <w:rsid w:val="009D5546"/>
    <w:rsid w:val="00A132D8"/>
    <w:rsid w:val="00A314E8"/>
    <w:rsid w:val="00A521C0"/>
    <w:rsid w:val="00A67BD9"/>
    <w:rsid w:val="00A726F5"/>
    <w:rsid w:val="00A97453"/>
    <w:rsid w:val="00AA5B4E"/>
    <w:rsid w:val="00AC2D37"/>
    <w:rsid w:val="00AD7456"/>
    <w:rsid w:val="00AF7173"/>
    <w:rsid w:val="00B01056"/>
    <w:rsid w:val="00B227BC"/>
    <w:rsid w:val="00B5104F"/>
    <w:rsid w:val="00B66BE0"/>
    <w:rsid w:val="00B7056A"/>
    <w:rsid w:val="00B81B29"/>
    <w:rsid w:val="00BA339B"/>
    <w:rsid w:val="00BB2991"/>
    <w:rsid w:val="00BD6C76"/>
    <w:rsid w:val="00BD75A8"/>
    <w:rsid w:val="00BE362B"/>
    <w:rsid w:val="00C01943"/>
    <w:rsid w:val="00C1319C"/>
    <w:rsid w:val="00C31D76"/>
    <w:rsid w:val="00C3280B"/>
    <w:rsid w:val="00C3482F"/>
    <w:rsid w:val="00C40E89"/>
    <w:rsid w:val="00C4219D"/>
    <w:rsid w:val="00C560EC"/>
    <w:rsid w:val="00C83384"/>
    <w:rsid w:val="00C90834"/>
    <w:rsid w:val="00C940AC"/>
    <w:rsid w:val="00C97877"/>
    <w:rsid w:val="00CC1FAC"/>
    <w:rsid w:val="00CD524B"/>
    <w:rsid w:val="00CD62BB"/>
    <w:rsid w:val="00CE2692"/>
    <w:rsid w:val="00CE4BB8"/>
    <w:rsid w:val="00CE7EF6"/>
    <w:rsid w:val="00CF7E18"/>
    <w:rsid w:val="00D46565"/>
    <w:rsid w:val="00D524FE"/>
    <w:rsid w:val="00D64A02"/>
    <w:rsid w:val="00D85D50"/>
    <w:rsid w:val="00DA6BFC"/>
    <w:rsid w:val="00DE2A01"/>
    <w:rsid w:val="00DF3F6B"/>
    <w:rsid w:val="00DF767A"/>
    <w:rsid w:val="00E06D13"/>
    <w:rsid w:val="00E24134"/>
    <w:rsid w:val="00E459D4"/>
    <w:rsid w:val="00E67DE2"/>
    <w:rsid w:val="00EB3BE4"/>
    <w:rsid w:val="00EC2C68"/>
    <w:rsid w:val="00ED720F"/>
    <w:rsid w:val="00EE5E12"/>
    <w:rsid w:val="00F071DB"/>
    <w:rsid w:val="00F145BF"/>
    <w:rsid w:val="00F606AB"/>
    <w:rsid w:val="00F67AA8"/>
    <w:rsid w:val="00F76E6E"/>
    <w:rsid w:val="00F85385"/>
    <w:rsid w:val="00FA314A"/>
    <w:rsid w:val="00FD793A"/>
    <w:rsid w:val="00FE0642"/>
    <w:rsid w:val="00FF4F34"/>
    <w:rsid w:val="05CC2863"/>
    <w:rsid w:val="06B1D10A"/>
    <w:rsid w:val="0FCD391C"/>
    <w:rsid w:val="13DA30FA"/>
    <w:rsid w:val="16649DE1"/>
    <w:rsid w:val="183927CE"/>
    <w:rsid w:val="18C6A044"/>
    <w:rsid w:val="1958796A"/>
    <w:rsid w:val="32A25EF7"/>
    <w:rsid w:val="3377E0DA"/>
    <w:rsid w:val="33CE18CD"/>
    <w:rsid w:val="39846CB2"/>
    <w:rsid w:val="3F18585E"/>
    <w:rsid w:val="3FCCD5E3"/>
    <w:rsid w:val="442CA448"/>
    <w:rsid w:val="459B4CAD"/>
    <w:rsid w:val="501C73BE"/>
    <w:rsid w:val="5BF44BCD"/>
    <w:rsid w:val="613B17E1"/>
    <w:rsid w:val="61545110"/>
    <w:rsid w:val="6C830668"/>
    <w:rsid w:val="782780F3"/>
    <w:rsid w:val="7ACA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5614"/>
  <w15:chartTrackingRefBased/>
  <w15:docId w15:val="{340E4DD2-3281-42F7-BB8B-5502837FD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B29"/>
    <w:pPr>
      <w:spacing w:after="0" w:line="240" w:lineRule="auto"/>
      <w:contextualSpacing/>
    </w:pPr>
    <w:rPr>
      <w:rFonts w:ascii="Calibri" w:hAnsi="Calibri" w:cs="Times New Roman (Body CS)"/>
      <w:color w:val="000000" w:themeColor="text1"/>
    </w:rPr>
  </w:style>
  <w:style w:type="paragraph" w:styleId="Heading1">
    <w:name w:val="heading 1"/>
    <w:basedOn w:val="Normal"/>
    <w:next w:val="Normal"/>
    <w:link w:val="Heading1Char"/>
    <w:autoRedefine/>
    <w:uiPriority w:val="9"/>
    <w:qFormat/>
    <w:rsid w:val="00F071DB"/>
    <w:pPr>
      <w:keepNext/>
      <w:keepLines/>
      <w:spacing w:before="24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734665"/>
    <w:pPr>
      <w:keepNext/>
      <w:keepLines/>
      <w:spacing w:before="40"/>
      <w:outlineLvl w:val="1"/>
    </w:pPr>
    <w:rPr>
      <w:rFonts w:eastAsiaTheme="majorEastAsia" w:cs="Times New Roman (Headings CS)"/>
      <w:color w:val="0070C0"/>
      <w:sz w:val="26"/>
      <w:szCs w:val="26"/>
    </w:rPr>
  </w:style>
  <w:style w:type="paragraph" w:styleId="Heading3">
    <w:name w:val="heading 3"/>
    <w:basedOn w:val="Normal"/>
    <w:next w:val="Normal"/>
    <w:link w:val="Heading3Char"/>
    <w:autoRedefine/>
    <w:uiPriority w:val="9"/>
    <w:unhideWhenUsed/>
    <w:qFormat/>
    <w:rsid w:val="00734665"/>
    <w:pPr>
      <w:keepNext/>
      <w:keepLines/>
      <w:spacing w:before="40"/>
      <w:outlineLvl w:val="2"/>
    </w:pPr>
    <w:rPr>
      <w:rFonts w:eastAsiaTheme="majorEastAsia" w:cstheme="majorBidi"/>
      <w:color w:val="0070C0"/>
    </w:rPr>
  </w:style>
  <w:style w:type="paragraph" w:styleId="Heading4">
    <w:name w:val="heading 4"/>
    <w:basedOn w:val="Normal"/>
    <w:next w:val="Normal"/>
    <w:link w:val="Heading4Char"/>
    <w:autoRedefine/>
    <w:uiPriority w:val="9"/>
    <w:unhideWhenUsed/>
    <w:qFormat/>
    <w:rsid w:val="00BD75A8"/>
    <w:pPr>
      <w:keepNext/>
      <w:keepLines/>
      <w:spacing w:before="40"/>
      <w:outlineLvl w:val="3"/>
    </w:pPr>
    <w:rPr>
      <w:rFonts w:eastAsiaTheme="majorEastAsia" w:cstheme="majorBidi"/>
      <w:i/>
      <w:iCs/>
      <w:color w:val="0070C0"/>
    </w:rPr>
  </w:style>
  <w:style w:type="paragraph" w:styleId="Heading5">
    <w:name w:val="heading 5"/>
    <w:basedOn w:val="Normal"/>
    <w:next w:val="Normal"/>
    <w:link w:val="Heading5Char"/>
    <w:autoRedefine/>
    <w:uiPriority w:val="9"/>
    <w:unhideWhenUsed/>
    <w:qFormat/>
    <w:rsid w:val="00F606AB"/>
    <w:pPr>
      <w:keepNext/>
      <w:keepLines/>
      <w:spacing w:before="40"/>
      <w:ind w:left="720"/>
      <w:outlineLvl w:val="4"/>
    </w:pPr>
    <w:rPr>
      <w:rFonts w:eastAsiaTheme="majorEastAsia" w:cstheme="majorBidi"/>
      <w:color w:val="0070C0"/>
    </w:rPr>
  </w:style>
  <w:style w:type="paragraph" w:styleId="Heading6">
    <w:name w:val="heading 6"/>
    <w:basedOn w:val="Normal"/>
    <w:next w:val="Normal"/>
    <w:link w:val="Heading6Char"/>
    <w:autoRedefine/>
    <w:uiPriority w:val="9"/>
    <w:unhideWhenUsed/>
    <w:qFormat/>
    <w:rsid w:val="00137E5B"/>
    <w:pPr>
      <w:keepNext/>
      <w:keepLines/>
      <w:spacing w:before="40"/>
      <w:outlineLvl w:val="5"/>
    </w:pPr>
    <w:rPr>
      <w:rFonts w:eastAsiaTheme="majorEastAsia"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C3482F"/>
    <w:pPr>
      <w:numPr>
        <w:numId w:val="18"/>
      </w:numPr>
    </w:pPr>
  </w:style>
  <w:style w:type="character" w:styleId="Hyperlink">
    <w:name w:val="Hyperlink"/>
    <w:basedOn w:val="DefaultParagraphFont"/>
    <w:uiPriority w:val="99"/>
    <w:unhideWhenUsed/>
    <w:rsid w:val="7ACA6FB4"/>
    <w:rPr>
      <w:color w:val="467886"/>
      <w:u w:val="single"/>
    </w:rPr>
  </w:style>
  <w:style w:type="character" w:customStyle="1" w:styleId="Heading1Char">
    <w:name w:val="Heading 1 Char"/>
    <w:basedOn w:val="DefaultParagraphFont"/>
    <w:link w:val="Heading1"/>
    <w:uiPriority w:val="9"/>
    <w:rsid w:val="00F071DB"/>
    <w:rPr>
      <w:rFonts w:ascii="Calibri" w:eastAsiaTheme="majorEastAsia" w:hAnsi="Calibri" w:cstheme="majorBidi"/>
      <w:color w:val="0F4761" w:themeColor="accent1" w:themeShade="BF"/>
      <w:sz w:val="32"/>
      <w:szCs w:val="32"/>
    </w:rPr>
  </w:style>
  <w:style w:type="character" w:customStyle="1" w:styleId="Heading2Char">
    <w:name w:val="Heading 2 Char"/>
    <w:basedOn w:val="DefaultParagraphFont"/>
    <w:link w:val="Heading2"/>
    <w:uiPriority w:val="9"/>
    <w:rsid w:val="00734665"/>
    <w:rPr>
      <w:rFonts w:ascii="Calibri" w:eastAsiaTheme="majorEastAsia" w:hAnsi="Calibri" w:cs="Times New Roman (Headings CS)"/>
      <w:color w:val="0070C0"/>
      <w:sz w:val="26"/>
      <w:szCs w:val="26"/>
    </w:rPr>
  </w:style>
  <w:style w:type="paragraph" w:styleId="NoSpacing">
    <w:name w:val="No Spacing"/>
    <w:uiPriority w:val="1"/>
    <w:qFormat/>
    <w:rsid w:val="00B81B29"/>
    <w:pPr>
      <w:spacing w:after="0" w:line="240" w:lineRule="auto"/>
      <w:contextualSpacing/>
    </w:pPr>
    <w:rPr>
      <w:rFonts w:ascii="Calibri" w:hAnsi="Calibri" w:cs="Times New Roman (Body CS)"/>
      <w:color w:val="000000" w:themeColor="text1"/>
    </w:rPr>
  </w:style>
  <w:style w:type="character" w:customStyle="1" w:styleId="Heading3Char">
    <w:name w:val="Heading 3 Char"/>
    <w:basedOn w:val="DefaultParagraphFont"/>
    <w:link w:val="Heading3"/>
    <w:uiPriority w:val="9"/>
    <w:rsid w:val="00734665"/>
    <w:rPr>
      <w:rFonts w:ascii="Calibri" w:eastAsiaTheme="majorEastAsia" w:hAnsi="Calibri" w:cstheme="majorBidi"/>
      <w:color w:val="0070C0"/>
    </w:rPr>
  </w:style>
  <w:style w:type="character" w:customStyle="1" w:styleId="Heading4Char">
    <w:name w:val="Heading 4 Char"/>
    <w:basedOn w:val="DefaultParagraphFont"/>
    <w:link w:val="Heading4"/>
    <w:uiPriority w:val="9"/>
    <w:rsid w:val="00BD75A8"/>
    <w:rPr>
      <w:rFonts w:ascii="Calibri" w:eastAsiaTheme="majorEastAsia" w:hAnsi="Calibri" w:cstheme="majorBidi"/>
      <w:i/>
      <w:iCs/>
      <w:color w:val="0070C0"/>
    </w:rPr>
  </w:style>
  <w:style w:type="character" w:styleId="FollowedHyperlink">
    <w:name w:val="FollowedHyperlink"/>
    <w:basedOn w:val="DefaultParagraphFont"/>
    <w:uiPriority w:val="99"/>
    <w:semiHidden/>
    <w:unhideWhenUsed/>
    <w:rsid w:val="005A1964"/>
    <w:rPr>
      <w:color w:val="96607D" w:themeColor="followedHyperlink"/>
      <w:u w:val="single"/>
    </w:rPr>
  </w:style>
  <w:style w:type="paragraph" w:styleId="Header">
    <w:name w:val="header"/>
    <w:basedOn w:val="Normal"/>
    <w:link w:val="HeaderChar"/>
    <w:uiPriority w:val="99"/>
    <w:unhideWhenUsed/>
    <w:rsid w:val="00A521C0"/>
    <w:pPr>
      <w:tabs>
        <w:tab w:val="center" w:pos="4680"/>
        <w:tab w:val="right" w:pos="9360"/>
      </w:tabs>
    </w:pPr>
  </w:style>
  <w:style w:type="character" w:customStyle="1" w:styleId="HeaderChar">
    <w:name w:val="Header Char"/>
    <w:basedOn w:val="DefaultParagraphFont"/>
    <w:link w:val="Header"/>
    <w:uiPriority w:val="99"/>
    <w:rsid w:val="00A521C0"/>
    <w:rPr>
      <w:rFonts w:ascii="Calibri" w:hAnsi="Calibri" w:cs="Times New Roman (Body CS)"/>
      <w:color w:val="000000" w:themeColor="text1"/>
    </w:rPr>
  </w:style>
  <w:style w:type="paragraph" w:styleId="Footer">
    <w:name w:val="footer"/>
    <w:basedOn w:val="Normal"/>
    <w:link w:val="FooterChar"/>
    <w:uiPriority w:val="99"/>
    <w:unhideWhenUsed/>
    <w:rsid w:val="00A521C0"/>
    <w:pPr>
      <w:tabs>
        <w:tab w:val="center" w:pos="4680"/>
        <w:tab w:val="right" w:pos="9360"/>
      </w:tabs>
    </w:pPr>
  </w:style>
  <w:style w:type="character" w:customStyle="1" w:styleId="FooterChar">
    <w:name w:val="Footer Char"/>
    <w:basedOn w:val="DefaultParagraphFont"/>
    <w:link w:val="Footer"/>
    <w:uiPriority w:val="99"/>
    <w:rsid w:val="00A521C0"/>
    <w:rPr>
      <w:rFonts w:ascii="Calibri" w:hAnsi="Calibri" w:cs="Times New Roman (Body CS)"/>
      <w:color w:val="000000" w:themeColor="text1"/>
    </w:rPr>
  </w:style>
  <w:style w:type="character" w:styleId="PageNumber">
    <w:name w:val="page number"/>
    <w:basedOn w:val="DefaultParagraphFont"/>
    <w:uiPriority w:val="99"/>
    <w:semiHidden/>
    <w:unhideWhenUsed/>
    <w:rsid w:val="00A521C0"/>
  </w:style>
  <w:style w:type="character" w:customStyle="1" w:styleId="Heading5Char">
    <w:name w:val="Heading 5 Char"/>
    <w:basedOn w:val="DefaultParagraphFont"/>
    <w:link w:val="Heading5"/>
    <w:uiPriority w:val="9"/>
    <w:rsid w:val="00F606AB"/>
    <w:rPr>
      <w:rFonts w:ascii="Calibri" w:eastAsiaTheme="majorEastAsia" w:hAnsi="Calibri" w:cstheme="majorBidi"/>
      <w:color w:val="0070C0"/>
    </w:rPr>
  </w:style>
  <w:style w:type="character" w:customStyle="1" w:styleId="Heading6Char">
    <w:name w:val="Heading 6 Char"/>
    <w:basedOn w:val="DefaultParagraphFont"/>
    <w:link w:val="Heading6"/>
    <w:uiPriority w:val="9"/>
    <w:rsid w:val="00137E5B"/>
    <w:rPr>
      <w:rFonts w:ascii="Calibri" w:eastAsiaTheme="majorEastAsia" w:hAnsi="Calibri" w:cstheme="majorBidi"/>
      <w:color w:val="0070C0"/>
    </w:rPr>
  </w:style>
  <w:style w:type="character" w:styleId="IntenseEmphasis">
    <w:name w:val="Intense Emphasis"/>
    <w:basedOn w:val="DefaultParagraphFont"/>
    <w:uiPriority w:val="21"/>
    <w:qFormat/>
    <w:rsid w:val="00EC2C68"/>
    <w:rPr>
      <w:i/>
      <w:iCs/>
      <w:color w:val="156082" w:themeColor="accent1"/>
    </w:rPr>
  </w:style>
  <w:style w:type="character" w:styleId="UnresolvedMention">
    <w:name w:val="Unresolved Mention"/>
    <w:basedOn w:val="DefaultParagraphFont"/>
    <w:uiPriority w:val="99"/>
    <w:semiHidden/>
    <w:unhideWhenUsed/>
    <w:rsid w:val="00781A8F"/>
    <w:rPr>
      <w:color w:val="605E5C"/>
      <w:shd w:val="clear" w:color="auto" w:fill="E1DFDD"/>
    </w:rPr>
  </w:style>
  <w:style w:type="table" w:styleId="TableGrid">
    <w:name w:val="Table Grid"/>
    <w:basedOn w:val="TableNormal"/>
    <w:uiPriority w:val="59"/>
    <w:rsid w:val="00181AB0"/>
    <w:pPr>
      <w:spacing w:after="0" w:line="240" w:lineRule="auto"/>
    </w:pPr>
    <w:rPr>
      <w:rFonts w:ascii="Calibri" w:eastAsiaTheme="minorHAnsi" w:hAnsi="Calibri" w:cs="Times New Roman (Body 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tanaedu.sharepoint.com/:w:/s/AssessmentOutcomesCommitteeAOC/IQDVC2VBEEMcS6318MoTch-cAR9vOblAWNPvd6tkRDCO8sk?e=jlCKJA" TargetMode="External"/><Relationship Id="rId18" Type="http://schemas.openxmlformats.org/officeDocument/2006/relationships/hyperlink" Target="https://www.montana.edu/provost/assessment/blooms_action_verbs_for_learning_outcomes.html" TargetMode="External"/><Relationship Id="rId3" Type="http://schemas.openxmlformats.org/officeDocument/2006/relationships/customXml" Target="../customXml/item3.xml"/><Relationship Id="rId21" Type="http://schemas.openxmlformats.org/officeDocument/2006/relationships/hyperlink" Target="https://montanaedu.sharepoint.com/:b:/s/AssessmentOutcomesCommitteeAOC/IQAiseLmnwKpR6yMJL-0tBbUAXw8FkvuYUJYEGfQORRfSyg?e=ofXt5l" TargetMode="External"/><Relationship Id="rId7" Type="http://schemas.openxmlformats.org/officeDocument/2006/relationships/settings" Target="settings.xml"/><Relationship Id="rId12" Type="http://schemas.openxmlformats.org/officeDocument/2006/relationships/hyperlink" Target="https://montanaedu.sharepoint.com/:w:/s/AssessmentOutcomesCommitteeAOC/IQClKQko78fUSJmHdqqmdYQqAT4IfZXGZj_ezwm8fCuQedc?e=JIKW5O" TargetMode="External"/><Relationship Id="rId17" Type="http://schemas.openxmlformats.org/officeDocument/2006/relationships/hyperlink" Target="https://www.montana.edu/provost/assessment/sample_learning_outcomes_and_rubric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ntana.edu/provost/assessment/define_desired_program_learning_outcomes.html" TargetMode="External"/><Relationship Id="rId20" Type="http://schemas.openxmlformats.org/officeDocument/2006/relationships/hyperlink" Target="https://montanaedu.sharepoint.com/:b:/s/AssessmentOutcomesCommitteeAOC/IQBMKbzQoLBZQ49KTGl-7_kVARDijsOCqvgZQngRkm__fYc?e=HBdo6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ana.edu/provost/committees/aoc/member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ontana.edu/provost/assessment/program_assessment_overview.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ontana.edu/provost/assessment/taxonomies_of_the_cognitive_domai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wccu.org/standard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0FFEA80490B746B8D51A511776C189" ma:contentTypeVersion="10" ma:contentTypeDescription="Create a new document." ma:contentTypeScope="" ma:versionID="8e2bd54ac15f129112113caebfe73224">
  <xsd:schema xmlns:xsd="http://www.w3.org/2001/XMLSchema" xmlns:xs="http://www.w3.org/2001/XMLSchema" xmlns:p="http://schemas.microsoft.com/office/2006/metadata/properties" xmlns:ns2="f4e11a4d-d8f8-4d99-9f00-178b81ba3be1" xmlns:ns3="37cccf55-df00-4a6f-bfde-88175493acdf" targetNamespace="http://schemas.microsoft.com/office/2006/metadata/properties" ma:root="true" ma:fieldsID="901ae65f2b1cdb5a0a7efc69fe33b716" ns2:_="" ns3:_="">
    <xsd:import namespace="f4e11a4d-d8f8-4d99-9f00-178b81ba3be1"/>
    <xsd:import namespace="37cccf55-df00-4a6f-bfde-88175493ac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11a4d-d8f8-4d99-9f00-178b81ba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cccf55-df00-4a6f-bfde-88175493acd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D4C689-FA84-408D-9E32-95F06F83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11a4d-d8f8-4d99-9f00-178b81ba3be1"/>
    <ds:schemaRef ds:uri="37cccf55-df00-4a6f-bfde-88175493ac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46421-17B2-457A-A59F-84F54DD6C7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49766D-2798-644E-80BC-9676FDA5F1BF}">
  <ds:schemaRefs>
    <ds:schemaRef ds:uri="http://schemas.openxmlformats.org/officeDocument/2006/bibliography"/>
  </ds:schemaRefs>
</ds:datastoreItem>
</file>

<file path=customXml/itemProps4.xml><?xml version="1.0" encoding="utf-8"?>
<ds:datastoreItem xmlns:ds="http://schemas.openxmlformats.org/officeDocument/2006/customXml" ds:itemID="{04389AB5-4DA2-4F67-8F82-20EF0E6445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2051</Words>
  <Characters>11695</Characters>
  <Application>Microsoft Office Word</Application>
  <DocSecurity>0</DocSecurity>
  <Lines>97</Lines>
  <Paragraphs>27</Paragraphs>
  <ScaleCrop>false</ScaleCrop>
  <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Blanchard, Deborah</dc:creator>
  <cp:keywords/>
  <dc:description/>
  <cp:lastModifiedBy>Blanchard, Deborah</cp:lastModifiedBy>
  <cp:revision>158</cp:revision>
  <dcterms:created xsi:type="dcterms:W3CDTF">2026-06-02T18:52:00Z</dcterms:created>
  <dcterms:modified xsi:type="dcterms:W3CDTF">2026-06-18T16:28:00Z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0x010100400FFEA80490B746B8D51A511776C189</vt:lpwstr>
  </property>
</Properties>
</file>